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highlight w:val="none"/>
        </w:rPr>
      </w:pPr>
      <w:r>
        <w:rPr>
          <w:rFonts w:hint="eastAsia" w:ascii="ＭＳ 明朝" w:hAnsi="ＭＳ 明朝"/>
          <w:highlight w:val="none"/>
        </w:rPr>
        <w:t>様式第１号</w:t>
      </w:r>
      <w:r>
        <w:rPr>
          <w:rFonts w:hint="eastAsia" w:ascii="ＭＳ 明朝" w:hAnsi="ＭＳ 明朝"/>
          <w:highlight w:val="none"/>
        </w:rPr>
        <w:t>(</w:t>
      </w:r>
      <w:r>
        <w:rPr>
          <w:rFonts w:hint="eastAsia" w:ascii="ＭＳ 明朝" w:hAnsi="ＭＳ 明朝"/>
          <w:highlight w:val="none"/>
        </w:rPr>
        <w:t>第３条関係</w:t>
      </w:r>
      <w:r>
        <w:rPr>
          <w:rFonts w:hint="eastAsia" w:ascii="ＭＳ 明朝" w:hAnsi="ＭＳ 明朝"/>
          <w:highlight w:val="none"/>
        </w:rPr>
        <w:t>)</w:t>
      </w:r>
    </w:p>
    <w:p>
      <w:pPr>
        <w:pStyle w:val="0"/>
        <w:rPr>
          <w:rFonts w:hint="default" w:ascii="ＭＳ ゴシック" w:hAnsi="ＭＳ ゴシック" w:eastAsia="ＭＳ ゴシック"/>
          <w:b w:val="1"/>
          <w:sz w:val="22"/>
          <w:highlight w:val="none"/>
        </w:rPr>
      </w:pPr>
    </w:p>
    <w:p>
      <w:pPr>
        <w:pStyle w:val="0"/>
        <w:jc w:val="center"/>
        <w:rPr>
          <w:rFonts w:hint="default" w:asciiTheme="majorEastAsia" w:hAnsiTheme="majorEastAsia" w:eastAsiaTheme="majorEastAsia"/>
          <w:b w:val="1"/>
          <w:sz w:val="22"/>
          <w:highlight w:val="none"/>
        </w:rPr>
      </w:pPr>
      <w:r>
        <w:rPr>
          <w:rFonts w:hint="eastAsia" w:ascii="ＭＳ ゴシック" w:hAnsi="ＭＳ ゴシック" w:eastAsia="ＭＳ ゴシック"/>
          <w:b w:val="1"/>
          <w:sz w:val="22"/>
          <w:highlight w:val="none"/>
        </w:rPr>
        <w:t>津山市</w:t>
      </w:r>
      <w:r>
        <w:rPr>
          <w:rFonts w:hint="eastAsia" w:asciiTheme="majorEastAsia" w:hAnsiTheme="majorEastAsia" w:eastAsiaTheme="majorEastAsia"/>
          <w:b w:val="1"/>
          <w:sz w:val="22"/>
          <w:highlight w:val="none"/>
        </w:rPr>
        <w:t>ロゴ利用申請書</w:t>
      </w:r>
    </w:p>
    <w:p>
      <w:pPr>
        <w:pStyle w:val="0"/>
        <w:jc w:val="right"/>
        <w:rPr>
          <w:rFonts w:hint="default" w:ascii="ＭＳ 明朝" w:hAnsi="ＭＳ 明朝"/>
          <w:highlight w:val="none"/>
        </w:rPr>
      </w:pPr>
    </w:p>
    <w:p>
      <w:pPr>
        <w:pStyle w:val="0"/>
        <w:jc w:val="right"/>
        <w:rPr>
          <w:rFonts w:hint="default" w:ascii="ＭＳ 明朝" w:hAnsi="ＭＳ 明朝"/>
          <w:highlight w:val="none"/>
        </w:rPr>
      </w:pPr>
      <w:r>
        <w:rPr>
          <w:rFonts w:hint="eastAsia" w:ascii="ＭＳ 明朝" w:hAnsi="ＭＳ 明朝"/>
          <w:highlight w:val="none"/>
        </w:rPr>
        <w:t>令和　　年　　月　　日</w:t>
      </w:r>
    </w:p>
    <w:p>
      <w:pPr>
        <w:pStyle w:val="0"/>
        <w:rPr>
          <w:rFonts w:hint="default" w:ascii="ＭＳ 明朝" w:hAnsi="ＭＳ 明朝"/>
          <w:highlight w:val="none"/>
        </w:rPr>
      </w:pPr>
      <w:r>
        <w:rPr>
          <w:rFonts w:hint="eastAsia" w:ascii="ＭＳ 明朝" w:hAnsi="ＭＳ 明朝"/>
          <w:highlight w:val="none"/>
        </w:rPr>
        <w:t>津山市長　　様</w:t>
      </w:r>
    </w:p>
    <w:p>
      <w:pPr>
        <w:pStyle w:val="0"/>
        <w:rPr>
          <w:rFonts w:hint="default" w:ascii="ＭＳ 明朝" w:hAnsi="ＭＳ 明朝"/>
          <w:highlight w:val="none"/>
        </w:rPr>
      </w:pPr>
    </w:p>
    <w:p>
      <w:pPr>
        <w:pStyle w:val="0"/>
        <w:ind w:left="3045" w:leftChars="1450"/>
        <w:rPr>
          <w:rFonts w:hint="default" w:ascii="ＭＳ 明朝" w:hAnsi="ＭＳ 明朝"/>
          <w:highlight w:val="none"/>
        </w:rPr>
      </w:pPr>
      <w:r>
        <w:rPr>
          <w:rFonts w:hint="eastAsia" w:ascii="ＭＳ 明朝" w:hAnsi="ＭＳ 明朝"/>
          <w:spacing w:val="70"/>
          <w:kern w:val="0"/>
          <w:highlight w:val="none"/>
          <w:fitText w:val="1260" w:id="1"/>
        </w:rPr>
        <w:t>郵便番</w:t>
      </w:r>
      <w:r>
        <w:rPr>
          <w:rFonts w:hint="eastAsia" w:ascii="ＭＳ 明朝" w:hAnsi="ＭＳ 明朝"/>
          <w:kern w:val="0"/>
          <w:highlight w:val="none"/>
          <w:fitText w:val="1260" w:id="1"/>
        </w:rPr>
        <w:t>号</w:t>
      </w:r>
    </w:p>
    <w:p>
      <w:pPr>
        <w:pStyle w:val="0"/>
        <w:ind w:left="3045" w:leftChars="1450"/>
        <w:rPr>
          <w:rFonts w:hint="default" w:ascii="ＭＳ 明朝" w:hAnsi="ＭＳ 明朝"/>
          <w:highlight w:val="none"/>
        </w:rPr>
      </w:pPr>
      <w:r>
        <w:rPr>
          <w:rFonts w:hint="eastAsia" w:ascii="ＭＳ 明朝" w:hAnsi="ＭＳ 明朝"/>
          <w:spacing w:val="420"/>
          <w:kern w:val="0"/>
          <w:highlight w:val="none"/>
          <w:fitText w:val="1260" w:id="2"/>
        </w:rPr>
        <w:t>住</w:t>
      </w:r>
      <w:r>
        <w:rPr>
          <w:rFonts w:hint="eastAsia" w:ascii="ＭＳ 明朝" w:hAnsi="ＭＳ 明朝"/>
          <w:kern w:val="0"/>
          <w:highlight w:val="none"/>
          <w:fitText w:val="1260" w:id="2"/>
        </w:rPr>
        <w:t>所</w:t>
      </w:r>
    </w:p>
    <w:p>
      <w:pPr>
        <w:pStyle w:val="0"/>
        <w:ind w:left="3045" w:leftChars="1450"/>
        <w:rPr>
          <w:rFonts w:hint="default" w:ascii="ＭＳ 明朝" w:hAnsi="ＭＳ 明朝"/>
          <w:highlight w:val="none"/>
        </w:rPr>
      </w:pPr>
      <w:r>
        <w:rPr>
          <w:rFonts w:hint="eastAsia" w:ascii="ＭＳ 明朝" w:hAnsi="ＭＳ 明朝"/>
          <w:highlight w:val="none"/>
        </w:rPr>
        <w:t>商号又は名称</w:t>
      </w:r>
    </w:p>
    <w:p>
      <w:pPr>
        <w:pStyle w:val="0"/>
        <w:ind w:left="3045" w:leftChars="1450"/>
        <w:rPr>
          <w:rFonts w:hint="default" w:ascii="ＭＳ 明朝" w:hAnsi="ＭＳ 明朝"/>
          <w:highlight w:val="none"/>
        </w:rPr>
      </w:pPr>
      <w:r>
        <w:rPr>
          <w:rFonts w:hint="eastAsia" w:ascii="ＭＳ 明朝" w:hAnsi="ＭＳ 明朝"/>
          <w:spacing w:val="70"/>
          <w:kern w:val="0"/>
          <w:highlight w:val="none"/>
          <w:fitText w:val="1260" w:id="3"/>
        </w:rPr>
        <w:t>代表者</w:t>
      </w:r>
      <w:r>
        <w:rPr>
          <w:rFonts w:hint="eastAsia" w:ascii="ＭＳ 明朝" w:hAnsi="ＭＳ 明朝"/>
          <w:kern w:val="0"/>
          <w:highlight w:val="none"/>
          <w:fitText w:val="1260" w:id="3"/>
        </w:rPr>
        <w:t>職</w:t>
      </w:r>
    </w:p>
    <w:p>
      <w:pPr>
        <w:pStyle w:val="0"/>
        <w:ind w:left="3045" w:leftChars="1450"/>
        <w:rPr>
          <w:rFonts w:hint="default" w:ascii="ＭＳ 明朝" w:hAnsi="ＭＳ 明朝"/>
          <w:highlight w:val="none"/>
        </w:rPr>
      </w:pPr>
      <w:r>
        <w:rPr>
          <w:rFonts w:hint="eastAsia" w:ascii="ＭＳ 明朝" w:hAnsi="ＭＳ 明朝"/>
          <w:spacing w:val="26"/>
          <w:kern w:val="0"/>
          <w:highlight w:val="none"/>
          <w:fitText w:val="1260" w:id="4"/>
        </w:rPr>
        <w:t>代表者氏</w:t>
      </w:r>
      <w:r>
        <w:rPr>
          <w:rFonts w:hint="eastAsia" w:ascii="ＭＳ 明朝" w:hAnsi="ＭＳ 明朝"/>
          <w:spacing w:val="1"/>
          <w:kern w:val="0"/>
          <w:highlight w:val="none"/>
          <w:fitText w:val="1260" w:id="4"/>
        </w:rPr>
        <w:t>名</w:t>
      </w:r>
      <w:r>
        <w:rPr>
          <w:rFonts w:hint="eastAsia" w:ascii="ＭＳ 明朝" w:hAnsi="ＭＳ 明朝"/>
          <w:highlight w:val="none"/>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津山市ロゴを利用したいので、次のとおり申請します。</w:t>
      </w:r>
    </w:p>
    <w:p>
      <w:pPr>
        <w:pStyle w:val="0"/>
        <w:rPr>
          <w:rFonts w:hint="default" w:ascii="ＭＳ 明朝" w:hAnsi="ＭＳ 明朝"/>
        </w:rPr>
      </w:pPr>
      <w:r>
        <w:rPr>
          <w:rFonts w:hint="eastAsia" w:ascii="ＭＳ 明朝" w:hAnsi="ＭＳ 明朝"/>
        </w:rPr>
        <w:t>　なお、利用に当たっては、「津山市ロゴ利用に関する要綱」を遵守します。</w:t>
      </w:r>
    </w:p>
    <w:p>
      <w:pPr>
        <w:pStyle w:val="0"/>
        <w:rPr>
          <w:rFonts w:hint="default" w:ascii="ＭＳ 明朝" w:hAnsi="ＭＳ 明朝"/>
        </w:rPr>
      </w:pPr>
    </w:p>
    <w:tbl>
      <w:tblPr>
        <w:tblStyle w:val="29"/>
        <w:tblW w:w="8702" w:type="dxa"/>
        <w:jc w:val="left"/>
        <w:tblInd w:w="0" w:type="dxa"/>
        <w:tblLayout w:type="fixed"/>
        <w:tblLook w:firstRow="1" w:lastRow="0" w:firstColumn="1" w:lastColumn="0" w:noHBand="0" w:noVBand="1" w:val="04A0"/>
      </w:tblPr>
      <w:tblGrid>
        <w:gridCol w:w="2376"/>
        <w:gridCol w:w="6326"/>
      </w:tblGrid>
      <w:tr>
        <w:trPr>
          <w:trHeight w:val="567" w:hRule="atLeast"/>
        </w:trPr>
        <w:tc>
          <w:tcPr>
            <w:tcW w:w="2376" w:type="dxa"/>
            <w:vAlign w:val="center"/>
          </w:tcPr>
          <w:p>
            <w:pPr>
              <w:pStyle w:val="0"/>
              <w:jc w:val="center"/>
              <w:rPr>
                <w:rFonts w:hint="default" w:ascii="ＭＳ 明朝" w:hAnsi="ＭＳ 明朝"/>
              </w:rPr>
            </w:pPr>
            <w:r>
              <w:rPr>
                <w:rFonts w:hint="eastAsia" w:ascii="ＭＳ 明朝" w:hAnsi="ＭＳ 明朝"/>
              </w:rPr>
              <w:t>利用したいロゴ</w:t>
            </w:r>
          </w:p>
          <w:p>
            <w:pPr>
              <w:pStyle w:val="0"/>
              <w:jc w:val="center"/>
              <w:rPr>
                <w:rFonts w:hint="default" w:ascii="ＭＳ 明朝" w:hAnsi="ＭＳ 明朝"/>
              </w:rPr>
            </w:pPr>
            <w:r>
              <w:rPr>
                <w:rFonts w:hint="eastAsia" w:ascii="ＭＳ 明朝" w:hAnsi="ＭＳ 明朝"/>
              </w:rPr>
              <w:t>（いずれかに○印）</w:t>
            </w:r>
          </w:p>
        </w:tc>
        <w:tc>
          <w:tcPr>
            <w:tcW w:w="6326" w:type="dxa"/>
            <w:vAlign w:val="center"/>
          </w:tcPr>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基本色　　　　　　</w:t>
            </w:r>
            <w:r>
              <w:rPr>
                <w:rFonts w:hint="eastAsia" w:ascii="ＭＳ 明朝" w:hAnsi="ＭＳ 明朝"/>
              </w:rPr>
              <w:tab/>
            </w:r>
            <w:r>
              <w:rPr>
                <w:rFonts w:hint="eastAsia" w:ascii="ＭＳ 明朝" w:hAnsi="ＭＳ 明朝"/>
              </w:rPr>
              <w:t>モノクロ　　</w:t>
            </w:r>
            <w:r>
              <w:rPr>
                <w:rFonts w:hint="eastAsia" w:ascii="ＭＳ 明朝" w:hAnsi="ＭＳ 明朝"/>
              </w:rPr>
              <w:tab/>
            </w:r>
            <w:r>
              <w:rPr>
                <w:rFonts w:hint="eastAsia" w:ascii="ＭＳ 明朝" w:hAnsi="ＭＳ 明朝"/>
              </w:rPr>
              <w:t>　　　白抜き</w:t>
            </w:r>
          </w:p>
          <w:p>
            <w:pPr>
              <w:pStyle w:val="0"/>
              <w:rPr>
                <w:rFonts w:hint="default" w:ascii="ＭＳ 明朝" w:hAnsi="ＭＳ 明朝"/>
              </w:rPr>
            </w:pPr>
          </w:p>
        </w:tc>
      </w:tr>
      <w:tr>
        <w:trPr>
          <w:trHeight w:val="567" w:hRule="atLeast"/>
        </w:trPr>
        <w:tc>
          <w:tcPr>
            <w:tcW w:w="2376" w:type="dxa"/>
            <w:vAlign w:val="center"/>
          </w:tcPr>
          <w:p>
            <w:pPr>
              <w:pStyle w:val="0"/>
              <w:jc w:val="center"/>
              <w:rPr>
                <w:rFonts w:hint="default" w:ascii="ＭＳ 明朝" w:hAnsi="ＭＳ 明朝"/>
              </w:rPr>
            </w:pPr>
            <w:r>
              <w:rPr>
                <w:rFonts w:hint="eastAsia" w:ascii="ＭＳ 明朝" w:hAnsi="ＭＳ 明朝"/>
              </w:rPr>
              <w:t>利用目的</w:t>
            </w:r>
          </w:p>
        </w:tc>
        <w:tc>
          <w:tcPr>
            <w:tcW w:w="6326" w:type="dxa"/>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r>
        <w:trPr>
          <w:trHeight w:val="2510" w:hRule="atLeast"/>
        </w:trPr>
        <w:tc>
          <w:tcPr>
            <w:tcW w:w="2376" w:type="dxa"/>
            <w:vAlign w:val="center"/>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利用方法</w:t>
            </w:r>
          </w:p>
          <w:p>
            <w:pPr>
              <w:pStyle w:val="0"/>
              <w:jc w:val="center"/>
              <w:rPr>
                <w:rFonts w:hint="default" w:ascii="ＭＳ 明朝" w:hAnsi="ＭＳ 明朝"/>
              </w:rPr>
            </w:pPr>
          </w:p>
        </w:tc>
        <w:tc>
          <w:tcPr>
            <w:tcW w:w="6326" w:type="dxa"/>
            <w:vAlign w:val="top"/>
          </w:tcPr>
          <w:p>
            <w:pPr>
              <w:pStyle w:val="0"/>
              <w:rPr>
                <w:rFonts w:hint="default" w:ascii="ＭＳ 明朝" w:hAnsi="ＭＳ 明朝"/>
              </w:rPr>
            </w:pPr>
          </w:p>
        </w:tc>
      </w:tr>
      <w:tr>
        <w:trPr>
          <w:trHeight w:val="567" w:hRule="atLeast"/>
        </w:trPr>
        <w:tc>
          <w:tcPr>
            <w:tcW w:w="2376" w:type="dxa"/>
            <w:vAlign w:val="center"/>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利用期間</w:t>
            </w:r>
          </w:p>
          <w:p>
            <w:pPr>
              <w:pStyle w:val="0"/>
              <w:jc w:val="center"/>
              <w:rPr>
                <w:rFonts w:hint="default" w:ascii="ＭＳ 明朝" w:hAnsi="ＭＳ 明朝"/>
              </w:rPr>
            </w:pPr>
          </w:p>
        </w:tc>
        <w:tc>
          <w:tcPr>
            <w:tcW w:w="6326" w:type="dxa"/>
            <w:vAlign w:val="center"/>
          </w:tcPr>
          <w:p>
            <w:pPr>
              <w:pStyle w:val="0"/>
              <w:jc w:val="center"/>
              <w:rPr>
                <w:rFonts w:hint="default" w:ascii="ＭＳ 明朝" w:hAnsi="ＭＳ 明朝"/>
              </w:rPr>
            </w:pPr>
            <w:r>
              <w:rPr>
                <w:rFonts w:hint="eastAsia" w:ascii="ＭＳ 明朝" w:hAnsi="ＭＳ 明朝"/>
              </w:rPr>
              <w:t>令和　　年　　月　　日　から　令和　　年　　月　　日　まで</w:t>
            </w:r>
          </w:p>
        </w:tc>
      </w:tr>
      <w:tr>
        <w:trPr>
          <w:trHeight w:val="567" w:hRule="atLeast"/>
        </w:trPr>
        <w:tc>
          <w:tcPr>
            <w:tcW w:w="2376" w:type="dxa"/>
            <w:vAlign w:val="center"/>
          </w:tcPr>
          <w:p>
            <w:pPr>
              <w:pStyle w:val="0"/>
              <w:jc w:val="center"/>
              <w:rPr>
                <w:rFonts w:hint="default" w:ascii="ＭＳ 明朝" w:hAnsi="ＭＳ 明朝"/>
              </w:rPr>
            </w:pPr>
            <w:r>
              <w:rPr>
                <w:rFonts w:hint="eastAsia" w:ascii="ＭＳ 明朝" w:hAnsi="ＭＳ 明朝"/>
              </w:rPr>
              <w:t>担当者</w:t>
            </w:r>
          </w:p>
        </w:tc>
        <w:tc>
          <w:tcPr>
            <w:tcW w:w="6326" w:type="dxa"/>
            <w:vAlign w:val="center"/>
          </w:tcPr>
          <w:p>
            <w:pPr>
              <w:pStyle w:val="0"/>
              <w:rPr>
                <w:rFonts w:hint="default" w:ascii="ＭＳ 明朝" w:hAnsi="ＭＳ 明朝"/>
              </w:rPr>
            </w:pPr>
            <w:r>
              <w:rPr>
                <w:rFonts w:hint="eastAsia" w:ascii="ＭＳ 明朝" w:hAnsi="ＭＳ 明朝"/>
              </w:rPr>
              <w:t>担当者名：</w:t>
            </w:r>
          </w:p>
          <w:p>
            <w:pPr>
              <w:pStyle w:val="0"/>
              <w:rPr>
                <w:rFonts w:hint="default" w:ascii="ＭＳ 明朝" w:hAnsi="ＭＳ 明朝"/>
              </w:rPr>
            </w:pPr>
          </w:p>
          <w:p>
            <w:pPr>
              <w:pStyle w:val="0"/>
              <w:jc w:val="left"/>
              <w:rPr>
                <w:rFonts w:hint="default" w:ascii="ＭＳ 明朝" w:hAnsi="ＭＳ 明朝"/>
              </w:rPr>
            </w:pPr>
            <w:r>
              <w:rPr>
                <w:rFonts w:hint="eastAsia" w:ascii="ＭＳ 明朝" w:hAnsi="ＭＳ 明朝"/>
              </w:rPr>
              <w:t>電話番号：</w:t>
            </w:r>
          </w:p>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r>
              <w:rPr>
                <w:rFonts w:hint="eastAsia" w:ascii="ＭＳ 明朝" w:hAnsi="ＭＳ 明朝"/>
              </w:rPr>
              <w:t>FAX</w:t>
            </w:r>
            <w:r>
              <w:rPr>
                <w:rFonts w:hint="eastAsia" w:ascii="ＭＳ 明朝" w:hAnsi="ＭＳ 明朝"/>
              </w:rPr>
              <w:t>番号：</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E-mail</w:t>
            </w:r>
            <w:r>
              <w:rPr>
                <w:rFonts w:hint="eastAsia" w:ascii="ＭＳ 明朝" w:hAnsi="ＭＳ 明朝"/>
              </w:rPr>
              <w:t>：</w:t>
            </w:r>
          </w:p>
        </w:tc>
      </w:tr>
    </w:tbl>
    <w:p>
      <w:pPr>
        <w:pStyle w:val="0"/>
        <w:spacing w:line="240" w:lineRule="exact"/>
        <w:ind w:left="525" w:leftChars="100" w:hanging="315" w:hangingChars="150"/>
        <w:rPr>
          <w:rFonts w:hint="default" w:ascii="ＭＳ 明朝" w:hAnsi="ＭＳ 明朝"/>
        </w:rPr>
      </w:pPr>
    </w:p>
    <w:p>
      <w:pPr>
        <w:pStyle w:val="0"/>
        <w:rPr>
          <w:rFonts w:hint="default" w:ascii="ＭＳ 明朝" w:hAnsi="ＭＳ 明朝"/>
        </w:rPr>
      </w:pPr>
      <w:r>
        <w:rPr>
          <w:rFonts w:hint="eastAsia" w:ascii="ＭＳ 明朝" w:hAnsi="ＭＳ 明朝"/>
        </w:rPr>
        <w:t>①会社概要等</w:t>
      </w:r>
      <w:r>
        <w:rPr>
          <w:rFonts w:hint="eastAsia" w:ascii="ＭＳ 明朝" w:hAnsi="ＭＳ 明朝"/>
        </w:rPr>
        <w:t>(</w:t>
      </w:r>
      <w:r>
        <w:rPr>
          <w:rFonts w:hint="eastAsia" w:ascii="ＭＳ 明朝" w:hAnsi="ＭＳ 明朝"/>
        </w:rPr>
        <w:t>申請者が法人その他団体の場合</w:t>
      </w:r>
      <w:r>
        <w:rPr>
          <w:rFonts w:hint="eastAsia" w:ascii="ＭＳ 明朝" w:hAnsi="ＭＳ 明朝"/>
        </w:rPr>
        <w:t>)(</w:t>
      </w:r>
      <w:r>
        <w:rPr>
          <w:rFonts w:hint="eastAsia" w:ascii="ＭＳ 明朝" w:hAnsi="ＭＳ 明朝"/>
        </w:rPr>
        <w:t>初回申請時のみ</w:t>
      </w:r>
      <w:r>
        <w:rPr>
          <w:rFonts w:hint="eastAsia" w:ascii="ＭＳ 明朝" w:hAnsi="ＭＳ 明朝"/>
        </w:rPr>
        <w:t>)</w:t>
      </w:r>
    </w:p>
    <w:p>
      <w:pPr>
        <w:pStyle w:val="0"/>
        <w:rPr>
          <w:rFonts w:hint="default" w:ascii="ＭＳ 明朝" w:hAnsi="ＭＳ 明朝"/>
        </w:rPr>
      </w:pPr>
      <w:r>
        <w:rPr>
          <w:rFonts w:hint="eastAsia" w:ascii="ＭＳ 明朝" w:hAnsi="ＭＳ 明朝"/>
        </w:rPr>
        <w:t>②利用見本</w:t>
      </w:r>
      <w:r>
        <w:rPr>
          <w:rFonts w:hint="eastAsia" w:ascii="ＭＳ 明朝" w:hAnsi="ＭＳ 明朝"/>
        </w:rPr>
        <w:t>(</w:t>
      </w:r>
      <w:r>
        <w:rPr>
          <w:rFonts w:hint="eastAsia" w:ascii="ＭＳ 明朝" w:hAnsi="ＭＳ 明朝"/>
        </w:rPr>
        <w:t>見本が添付できない場合は写真や印刷原稿等</w:t>
      </w:r>
      <w:r>
        <w:rPr>
          <w:rFonts w:hint="eastAsia" w:ascii="ＭＳ 明朝" w:hAnsi="ＭＳ 明朝"/>
        </w:rPr>
        <w:t>)</w:t>
      </w:r>
    </w:p>
    <w:p>
      <w:pPr>
        <w:pStyle w:val="0"/>
        <w:rPr>
          <w:rFonts w:hint="default" w:ascii="ＭＳ 明朝" w:hAnsi="ＭＳ 明朝"/>
        </w:rPr>
      </w:pPr>
      <w:r>
        <w:rPr>
          <w:rFonts w:hint="eastAsia" w:ascii="ＭＳ 明朝" w:hAnsi="ＭＳ 明朝"/>
        </w:rPr>
        <w:t>③津山市ロゴ利用に係る暴力団排除に関する誓約書</w:t>
      </w:r>
    </w:p>
    <w:p>
      <w:pPr>
        <w:pStyle w:val="0"/>
        <w:rPr>
          <w:rFonts w:hint="default" w:ascii="ＭＳ 明朝" w:hAnsi="ＭＳ 明朝"/>
        </w:rPr>
      </w:pPr>
      <w:r>
        <w:rPr>
          <w:rFonts w:hint="eastAsia" w:ascii="ＭＳ 明朝" w:hAnsi="ＭＳ 明朝"/>
        </w:rPr>
        <w:t>④その他</w:t>
      </w:r>
      <w:r>
        <w:rPr>
          <w:rFonts w:hint="eastAsia" w:ascii="ＭＳ 明朝" w:hAnsi="ＭＳ 明朝"/>
        </w:rPr>
        <w:t>(                                   )</w:t>
      </w:r>
    </w:p>
    <w:p>
      <w:pPr>
        <w:pStyle w:val="0"/>
        <w:jc w:val="right"/>
        <w:rPr>
          <w:rFonts w:hint="default"/>
        </w:rPr>
      </w:pPr>
      <w:r>
        <w:rPr>
          <w:rFonts w:hint="default" w:ascii="ＭＳ 明朝" w:hAnsi="ＭＳ 明朝"/>
        </w:rPr>
        <w:br w:type="page"/>
      </w:r>
      <w:r>
        <w:rPr>
          <w:rFonts w:hint="eastAsia"/>
        </w:rPr>
        <w:t>令和　　年　　月　　日</w:t>
      </w:r>
    </w:p>
    <w:p>
      <w:pPr>
        <w:pStyle w:val="0"/>
        <w:rPr>
          <w:rFonts w:hint="default"/>
        </w:rPr>
      </w:pPr>
    </w:p>
    <w:p>
      <w:pPr>
        <w:pStyle w:val="0"/>
        <w:rPr>
          <w:rFonts w:hint="default"/>
        </w:rPr>
      </w:pPr>
      <w:r>
        <w:rPr>
          <w:rFonts w:hint="eastAsia"/>
        </w:rPr>
        <w:t>津山市長　様</w:t>
      </w:r>
    </w:p>
    <w:p>
      <w:pPr>
        <w:pStyle w:val="0"/>
        <w:rPr>
          <w:rFonts w:hint="default"/>
        </w:rPr>
      </w:pPr>
      <w:r>
        <w:rPr>
          <w:rFonts w:hint="eastAsia"/>
        </w:rPr>
        <w:t>　</w:t>
      </w:r>
    </w:p>
    <w:p>
      <w:pPr>
        <w:pStyle w:val="0"/>
        <w:spacing w:line="360" w:lineRule="auto"/>
        <w:ind w:right="840" w:firstLine="4425" w:firstLineChars="2107"/>
        <w:rPr>
          <w:rFonts w:hint="default"/>
        </w:rPr>
      </w:pPr>
      <w:r>
        <w:rPr>
          <w:rFonts w:hint="eastAsia"/>
        </w:rPr>
        <w:t>申請団体名</w:t>
      </w:r>
    </w:p>
    <w:p>
      <w:pPr>
        <w:pStyle w:val="0"/>
        <w:wordWrap w:val="0"/>
        <w:spacing w:line="360" w:lineRule="auto"/>
        <w:ind w:right="44"/>
        <w:jc w:val="center"/>
        <w:rPr>
          <w:rFonts w:hint="default"/>
        </w:rPr>
      </w:pPr>
      <w:r>
        <w:rPr>
          <w:rFonts w:hint="eastAsia"/>
        </w:rPr>
        <w:t>　　　　　　　　　　　　　　　　　　　　　代表者氏名　　　　　　　　　　　　　　　</w:t>
      </w:r>
      <w:bookmarkStart w:id="0" w:name="_GoBack"/>
      <w:bookmarkEnd w:id="0"/>
    </w:p>
    <w:p>
      <w:pPr>
        <w:pStyle w:val="0"/>
        <w:wordWrap w:val="0"/>
        <w:ind w:right="44"/>
        <w:jc w:val="center"/>
        <w:rPr>
          <w:rFonts w:hint="default"/>
        </w:rPr>
      </w:pPr>
    </w:p>
    <w:p>
      <w:pPr>
        <w:pStyle w:val="0"/>
        <w:wordWrap w:val="0"/>
        <w:ind w:right="44"/>
        <w:jc w:val="right"/>
        <w:rPr>
          <w:rFonts w:hint="default"/>
        </w:rPr>
      </w:pPr>
      <w:r>
        <w:rPr>
          <w:rFonts w:hint="eastAsia" w:ascii="ＭＳ Ｐゴシック" w:hAnsi="ＭＳ Ｐゴシック" w:eastAsia="ＭＳ Ｐゴシック"/>
          <w:sz w:val="20"/>
          <w:highlight w:val="none"/>
          <w:u w:val="double" w:color="auto"/>
        </w:rPr>
        <w:t>（※）本人（代表者）が署名しない場合は、記名押印してください。</w:t>
      </w:r>
    </w:p>
    <w:p>
      <w:pPr>
        <w:pStyle w:val="0"/>
        <w:rPr>
          <w:rFonts w:hint="default"/>
        </w:rPr>
      </w:pPr>
    </w:p>
    <w:p>
      <w:pPr>
        <w:pStyle w:val="0"/>
        <w:rPr>
          <w:rFonts w:hint="default"/>
        </w:rPr>
      </w:pPr>
    </w:p>
    <w:p>
      <w:pPr>
        <w:pStyle w:val="0"/>
        <w:jc w:val="center"/>
        <w:rPr>
          <w:rFonts w:hint="default"/>
        </w:rPr>
      </w:pPr>
      <w:r>
        <w:rPr>
          <w:rFonts w:hint="eastAsia"/>
          <w:highlight w:val="none"/>
        </w:rPr>
        <w:t>津山市ロゴ利用に係る暴力団排除に関する誓約書</w:t>
      </w:r>
    </w:p>
    <w:p>
      <w:pPr>
        <w:pStyle w:val="0"/>
        <w:rPr>
          <w:rFonts w:hint="default"/>
        </w:rPr>
      </w:pPr>
    </w:p>
    <w:p>
      <w:pPr>
        <w:pStyle w:val="0"/>
        <w:rPr>
          <w:rFonts w:hint="default"/>
        </w:rPr>
      </w:pPr>
    </w:p>
    <w:p>
      <w:pPr>
        <w:pStyle w:val="0"/>
        <w:ind w:firstLine="210" w:firstLineChars="100"/>
        <w:rPr>
          <w:rFonts w:hint="default"/>
        </w:rPr>
      </w:pPr>
      <w:r>
        <w:rPr>
          <w:rFonts w:hint="eastAsia"/>
        </w:rPr>
        <w:t>私は、津山市暴力団排除条例（以下「条例｣という。）に基づき、条例の趣旨を理解した上で、別添｢津山市ロゴ利用申請書｣に係る利用が暴力団を利することとならないように、下記の事項について誓約します。</w:t>
      </w:r>
    </w:p>
    <w:p>
      <w:pPr>
        <w:pStyle w:val="0"/>
        <w:rPr>
          <w:rFonts w:hint="default"/>
        </w:rPr>
      </w:pPr>
      <w:r>
        <w:rPr>
          <w:rFonts w:hint="eastAsia"/>
        </w:rPr>
        <w:t>　これらの事項と相違する事実が判明した場合に、ロゴの利用が取消されたとしても異議の申立てを行いません。</w:t>
      </w:r>
    </w:p>
    <w:p>
      <w:pPr>
        <w:pStyle w:val="0"/>
        <w:rPr>
          <w:rFonts w:hint="default"/>
        </w:rPr>
      </w:pPr>
      <w:r>
        <w:rPr>
          <w:rFonts w:hint="eastAsia"/>
        </w:rPr>
        <w:t>　なお、誓約事項の確認等のために、津山市が岡山県警等に対し照会を行うことについても同意します。</w:t>
      </w:r>
    </w:p>
    <w:p>
      <w:pPr>
        <w:pStyle w:val="0"/>
        <w:rPr>
          <w:rFonts w:hint="default"/>
        </w:rPr>
      </w:pPr>
    </w:p>
    <w:p>
      <w:pPr>
        <w:pStyle w:val="0"/>
        <w:rPr>
          <w:rFonts w:hint="default"/>
        </w:rPr>
      </w:pPr>
    </w:p>
    <w:p>
      <w:pPr>
        <w:pStyle w:val="22"/>
        <w:rPr>
          <w:rFonts w:hint="default"/>
        </w:rPr>
      </w:pPr>
      <w:r>
        <w:rPr>
          <w:rFonts w:hint="eastAsia"/>
        </w:rPr>
        <w:t>記</w:t>
      </w:r>
    </w:p>
    <w:p>
      <w:pPr>
        <w:pStyle w:val="0"/>
        <w:rPr>
          <w:rFonts w:hint="default"/>
        </w:rPr>
      </w:pPr>
    </w:p>
    <w:p>
      <w:pPr>
        <w:pStyle w:val="0"/>
        <w:rPr>
          <w:rFonts w:hint="default"/>
        </w:rPr>
      </w:pPr>
    </w:p>
    <w:p>
      <w:pPr>
        <w:pStyle w:val="0"/>
        <w:ind w:left="525" w:hanging="525" w:hangingChars="250"/>
        <w:rPr>
          <w:rFonts w:hint="default"/>
        </w:rPr>
      </w:pPr>
      <w:r>
        <w:rPr>
          <w:rFonts w:hint="eastAsia"/>
        </w:rPr>
        <w:t>１</w:t>
      </w:r>
      <w:r>
        <w:rPr>
          <w:rFonts w:hint="default"/>
        </w:rPr>
        <w:t xml:space="preserve"> </w:t>
      </w:r>
      <w:r>
        <w:rPr>
          <w:rFonts w:hint="eastAsia"/>
        </w:rPr>
        <w:t>　次の者が、条例第２条に規定する暴力団員等ではないこと。また、暴力団員等を新たに選任しないこと。</w:t>
      </w:r>
    </w:p>
    <w:p>
      <w:pPr>
        <w:pStyle w:val="0"/>
        <w:ind w:left="540"/>
        <w:rPr>
          <w:rFonts w:hint="default"/>
        </w:rPr>
      </w:pPr>
      <w:r>
        <w:rPr>
          <w:rFonts w:hint="default"/>
        </w:rPr>
        <w:t>(</w:t>
      </w:r>
      <w:r>
        <w:rPr>
          <w:rFonts w:hint="eastAsia"/>
        </w:rPr>
        <w:t>１</w:t>
      </w:r>
      <w:r>
        <w:rPr>
          <w:rFonts w:hint="default"/>
        </w:rPr>
        <w:t xml:space="preserve">) </w:t>
      </w:r>
      <w:r>
        <w:rPr>
          <w:rFonts w:hint="eastAsia"/>
        </w:rPr>
        <w:t>団体である場合　代表者及び役員</w:t>
      </w:r>
    </w:p>
    <w:p>
      <w:pPr>
        <w:pStyle w:val="0"/>
        <w:ind w:left="540"/>
        <w:rPr>
          <w:rFonts w:hint="default"/>
        </w:rPr>
      </w:pPr>
      <w:r>
        <w:rPr>
          <w:rFonts w:hint="default"/>
        </w:rPr>
        <w:t>(</w:t>
      </w:r>
      <w:r>
        <w:rPr>
          <w:rFonts w:hint="eastAsia"/>
        </w:rPr>
        <w:t>２</w:t>
      </w:r>
      <w:r>
        <w:rPr>
          <w:rFonts w:hint="default"/>
        </w:rPr>
        <w:t xml:space="preserve">) </w:t>
      </w:r>
      <w:r>
        <w:rPr>
          <w:rFonts w:hint="eastAsia"/>
        </w:rPr>
        <w:t>個人事業主である場合　代表者</w:t>
      </w:r>
    </w:p>
    <w:p>
      <w:pPr>
        <w:pStyle w:val="0"/>
        <w:ind w:left="420" w:leftChars="200" w:firstLine="105" w:firstLineChars="50"/>
        <w:rPr>
          <w:rFonts w:hint="default"/>
        </w:rPr>
      </w:pPr>
      <w:r>
        <w:rPr>
          <w:rFonts w:hint="default"/>
        </w:rPr>
        <w:t>(</w:t>
      </w:r>
      <w:r>
        <w:rPr>
          <w:rFonts w:hint="eastAsia"/>
        </w:rPr>
        <w:t>３</w:t>
      </w:r>
      <w:r>
        <w:rPr>
          <w:rFonts w:hint="default"/>
        </w:rPr>
        <w:t xml:space="preserve">) </w:t>
      </w:r>
      <w:r>
        <w:rPr>
          <w:rFonts w:hint="eastAsia"/>
        </w:rPr>
        <w:t>個人である場合　個人本人</w:t>
      </w:r>
    </w:p>
    <w:p>
      <w:pPr>
        <w:pStyle w:val="0"/>
        <w:ind w:left="525" w:hanging="525" w:hangingChars="250"/>
        <w:rPr>
          <w:rFonts w:hint="default"/>
        </w:rPr>
      </w:pPr>
      <w:r>
        <w:rPr>
          <w:rFonts w:hint="eastAsia"/>
        </w:rPr>
        <w:t>２</w:t>
      </w:r>
      <w:r>
        <w:rPr>
          <w:rFonts w:hint="default"/>
        </w:rPr>
        <w:t xml:space="preserve"> </w:t>
      </w:r>
      <w:r>
        <w:rPr>
          <w:rFonts w:hint="eastAsia"/>
        </w:rPr>
        <w:t>　１の各号に該当するものが、暴力団及び暴力団員等と社会的に非難される関係を有していないこと。</w:t>
      </w:r>
    </w:p>
    <w:p>
      <w:pPr>
        <w:pStyle w:val="0"/>
        <w:ind w:left="525" w:hanging="525" w:hangingChars="250"/>
        <w:rPr>
          <w:rFonts w:hint="default"/>
        </w:rPr>
      </w:pPr>
      <w:r>
        <w:rPr>
          <w:rFonts w:hint="eastAsia"/>
        </w:rPr>
        <w:t>３</w:t>
      </w:r>
      <w:r>
        <w:rPr>
          <w:rFonts w:hint="default"/>
        </w:rPr>
        <w:t xml:space="preserve"> </w:t>
      </w:r>
      <w:r>
        <w:rPr>
          <w:rFonts w:hint="eastAsia"/>
        </w:rPr>
        <w:t>　利用人として、暴力団員を雇用していないこと。また、新たに雇用しないこと。</w:t>
      </w:r>
    </w:p>
    <w:p>
      <w:pPr>
        <w:pStyle w:val="0"/>
        <w:ind w:left="525" w:hanging="525" w:hangingChars="250"/>
        <w:rPr>
          <w:rFonts w:hint="default"/>
        </w:rPr>
      </w:pPr>
      <w:r>
        <w:rPr>
          <w:rFonts w:hint="eastAsia"/>
        </w:rPr>
        <w:t>４</w:t>
      </w:r>
      <w:r>
        <w:rPr>
          <w:rFonts w:hint="default"/>
        </w:rPr>
        <w:t xml:space="preserve"> </w:t>
      </w:r>
      <w:r>
        <w:rPr>
          <w:rFonts w:hint="eastAsia"/>
        </w:rPr>
        <w:t>　暴力団及び暴力団員等が実質的に経営又は運営に参加していないこと。また、新たに雇用しないこと。</w:t>
      </w:r>
    </w:p>
    <w:p>
      <w:pPr>
        <w:pStyle w:val="0"/>
        <w:ind w:left="210" w:hanging="210" w:hangingChars="100"/>
        <w:rPr>
          <w:rFonts w:hint="default"/>
        </w:rPr>
      </w:pPr>
      <w:r>
        <w:rPr>
          <w:rFonts w:hint="eastAsia"/>
        </w:rPr>
        <w:t>５</w:t>
      </w:r>
      <w:r>
        <w:rPr>
          <w:rFonts w:hint="default"/>
        </w:rPr>
        <w:t xml:space="preserve"> </w:t>
      </w:r>
      <w:r>
        <w:rPr>
          <w:rFonts w:hint="eastAsia"/>
        </w:rPr>
        <w:t>　条例第５条に基づき、必要書類の提出を求められたときは速やかに提出すること。</w:t>
      </w:r>
    </w:p>
    <w:p>
      <w:pPr>
        <w:pStyle w:val="0"/>
        <w:rPr>
          <w:rFonts w:hint="default"/>
        </w:rPr>
      </w:pPr>
    </w:p>
    <w:p>
      <w:pPr>
        <w:pStyle w:val="0"/>
        <w:ind w:firstLine="420" w:firstLineChars="200"/>
        <w:rPr>
          <w:rFonts w:hint="default"/>
        </w:rPr>
      </w:pPr>
      <w:r>
        <w:rPr>
          <w:rFonts w:hint="eastAsia"/>
        </w:rPr>
        <w:t>※個人での申請の場合は上記３、４を除く。</w:t>
      </w:r>
    </w:p>
    <w:p>
      <w:pPr>
        <w:pStyle w:val="24"/>
        <w:rPr>
          <w:rFonts w:hint="default"/>
        </w:rPr>
      </w:pPr>
      <w:r>
        <w:rPr>
          <w:rFonts w:hint="eastAsia"/>
        </w:rPr>
        <w:t>以上</w:t>
      </w: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spacing w:line="240" w:lineRule="exact"/>
        <w:jc w:val="center"/>
        <w:rPr>
          <w:rFonts w:hint="eastAsia" w:ascii="ＭＳ 明朝" w:hAnsi="ＭＳ 明朝"/>
        </w:rPr>
      </w:pPr>
      <w:r>
        <w:rPr>
          <w:rFonts w:hint="eastAsia" w:ascii="ＭＳ 明朝" w:hAnsi="ＭＳ 明朝"/>
        </w:rPr>
        <w:t>津山市暴力団排除条例</w:t>
      </w:r>
    </w:p>
    <w:p>
      <w:pPr>
        <w:pStyle w:val="0"/>
        <w:spacing w:line="220" w:lineRule="exact"/>
        <w:rPr>
          <w:rFonts w:hint="eastAsia" w:ascii="ＭＳ 明朝" w:hAnsi="ＭＳ 明朝"/>
          <w:sz w:val="16"/>
        </w:rPr>
      </w:pPr>
      <w:r>
        <w:rPr>
          <w:rFonts w:hint="eastAsia" w:ascii="ＭＳ 明朝" w:hAnsi="ＭＳ 明朝"/>
          <w:sz w:val="16"/>
        </w:rPr>
        <w:t>（目的）</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第１条</w:t>
      </w:r>
      <w:r>
        <w:rPr>
          <w:rFonts w:hint="eastAsia" w:ascii="ＭＳ 明朝" w:hAnsi="ＭＳ 明朝"/>
          <w:sz w:val="16"/>
        </w:rPr>
        <w:t xml:space="preserve"> </w:t>
      </w:r>
      <w:r>
        <w:rPr>
          <w:rFonts w:hint="eastAsia" w:ascii="ＭＳ 明朝" w:hAnsi="ＭＳ 明朝"/>
          <w:sz w:val="16"/>
        </w:rPr>
        <w:t>この条例は，暴力団が市民生活及び社会経済活動に介入し，暴力団の威力及びこれを背景とした資金獲得活動によって，市民等に多大な脅威を与えている現状に鑑み，暴力団の排除に関し，基本理念を定め，市及び市民等の役割を明らかにするとともに，暴力団の排除に関する基本的な施策を定め，暴力団の排除を総合的かつ計画的に推進することにより，安全で平穏な市民生活を確保し，及び社会経済活動の健全な発展に寄与することを目的とする。</w:t>
      </w:r>
    </w:p>
    <w:p>
      <w:pPr>
        <w:pStyle w:val="0"/>
        <w:spacing w:line="220" w:lineRule="exact"/>
        <w:rPr>
          <w:rFonts w:hint="eastAsia" w:ascii="ＭＳ 明朝" w:hAnsi="ＭＳ 明朝"/>
          <w:sz w:val="16"/>
        </w:rPr>
      </w:pPr>
      <w:r>
        <w:rPr>
          <w:rFonts w:hint="eastAsia" w:ascii="ＭＳ 明朝" w:hAnsi="ＭＳ 明朝"/>
          <w:sz w:val="16"/>
        </w:rPr>
        <w:t>（定義）</w:t>
      </w:r>
    </w:p>
    <w:p>
      <w:pPr>
        <w:pStyle w:val="0"/>
        <w:spacing w:line="220" w:lineRule="exact"/>
        <w:rPr>
          <w:rFonts w:hint="eastAsia" w:ascii="ＭＳ 明朝" w:hAnsi="ＭＳ 明朝"/>
          <w:sz w:val="16"/>
        </w:rPr>
      </w:pPr>
      <w:r>
        <w:rPr>
          <w:rFonts w:hint="eastAsia" w:ascii="ＭＳ 明朝" w:hAnsi="ＭＳ 明朝"/>
          <w:sz w:val="16"/>
        </w:rPr>
        <w:t>第２条</w:t>
      </w:r>
      <w:r>
        <w:rPr>
          <w:rFonts w:hint="eastAsia" w:ascii="ＭＳ 明朝" w:hAnsi="ＭＳ 明朝"/>
          <w:sz w:val="16"/>
        </w:rPr>
        <w:t xml:space="preserve"> </w:t>
      </w:r>
      <w:r>
        <w:rPr>
          <w:rFonts w:hint="eastAsia" w:ascii="ＭＳ 明朝" w:hAnsi="ＭＳ 明朝"/>
          <w:sz w:val="16"/>
        </w:rPr>
        <w:t>この条例において，次の各号に掲げる用語の意義は，それぞれ当該各号に定めるところによる。</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暴力団</w:t>
      </w:r>
      <w:r>
        <w:rPr>
          <w:rFonts w:hint="default" w:ascii="ＭＳ 明朝" w:hAnsi="ＭＳ 明朝"/>
          <w:sz w:val="16"/>
        </w:rPr>
        <w:t xml:space="preserve"> </w:t>
      </w:r>
      <w:r>
        <w:rPr>
          <w:rFonts w:hint="eastAsia" w:ascii="ＭＳ 明朝" w:hAnsi="ＭＳ 明朝"/>
          <w:sz w:val="16"/>
        </w:rPr>
        <w:t>暴力団員による不当な行為の防止等に関する法律（平成３年法律第７７号。以下この条において「暴力団対策法」という。）第２条第２号に規定する暴力団をいう。</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暴力団員</w:t>
      </w:r>
      <w:r>
        <w:rPr>
          <w:rFonts w:hint="default" w:ascii="ＭＳ 明朝" w:hAnsi="ＭＳ 明朝"/>
          <w:sz w:val="16"/>
        </w:rPr>
        <w:t xml:space="preserve"> </w:t>
      </w:r>
      <w:r>
        <w:rPr>
          <w:rFonts w:hint="eastAsia" w:ascii="ＭＳ 明朝" w:hAnsi="ＭＳ 明朝"/>
          <w:sz w:val="16"/>
        </w:rPr>
        <w:t>暴力団対策法第２条第６号に規定する暴力団員をいう。</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暴力団員等</w:t>
      </w:r>
      <w:r>
        <w:rPr>
          <w:rFonts w:hint="default" w:ascii="ＭＳ 明朝" w:hAnsi="ＭＳ 明朝"/>
          <w:sz w:val="16"/>
        </w:rPr>
        <w:t xml:space="preserve"> </w:t>
      </w:r>
      <w:r>
        <w:rPr>
          <w:rFonts w:hint="eastAsia" w:ascii="ＭＳ 明朝" w:hAnsi="ＭＳ 明朝"/>
          <w:sz w:val="16"/>
        </w:rPr>
        <w:t>暴力団員又は暴力団員でなくなった日から５年を経過しない者をいう。</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市民等</w:t>
      </w:r>
      <w:r>
        <w:rPr>
          <w:rFonts w:hint="default" w:ascii="ＭＳ 明朝" w:hAnsi="ＭＳ 明朝"/>
          <w:sz w:val="16"/>
        </w:rPr>
        <w:t xml:space="preserve"> </w:t>
      </w:r>
      <w:r>
        <w:rPr>
          <w:rFonts w:hint="eastAsia" w:ascii="ＭＳ 明朝" w:hAnsi="ＭＳ 明朝"/>
          <w:sz w:val="16"/>
        </w:rPr>
        <w:t>市民（市内に住所を有する者及び市内に勤務し，在学し，又は滞在する者をいう。）及び事業者（市内において事業活動を行う者をいう。）をいう。</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関係団体</w:t>
      </w:r>
      <w:r>
        <w:rPr>
          <w:rFonts w:hint="default" w:ascii="ＭＳ 明朝" w:hAnsi="ＭＳ 明朝"/>
          <w:sz w:val="16"/>
        </w:rPr>
        <w:t xml:space="preserve"> </w:t>
      </w:r>
      <w:r>
        <w:rPr>
          <w:rFonts w:hint="eastAsia" w:ascii="ＭＳ 明朝" w:hAnsi="ＭＳ 明朝"/>
          <w:sz w:val="16"/>
        </w:rPr>
        <w:t>暴力団対策法第３２条の２第１項の規定により公安委員会から暴力追放運動推進センターとして指定を受けた者その他の暴力団の排除に関する活動を行う団体をいう。</w:t>
      </w:r>
    </w:p>
    <w:p>
      <w:pPr>
        <w:pStyle w:val="26"/>
        <w:numPr>
          <w:ilvl w:val="0"/>
          <w:numId w:val="1"/>
        </w:numPr>
        <w:spacing w:line="220" w:lineRule="exact"/>
        <w:ind w:leftChars="0" w:hanging="218"/>
        <w:rPr>
          <w:rFonts w:hint="eastAsia" w:ascii="ＭＳ 明朝" w:hAnsi="ＭＳ 明朝"/>
          <w:sz w:val="16"/>
        </w:rPr>
      </w:pPr>
      <w:r>
        <w:rPr>
          <w:rFonts w:hint="eastAsia" w:ascii="ＭＳ 明朝" w:hAnsi="ＭＳ 明朝"/>
          <w:sz w:val="16"/>
        </w:rPr>
        <w:t>学校</w:t>
      </w:r>
      <w:r>
        <w:rPr>
          <w:rFonts w:hint="default" w:ascii="ＭＳ 明朝" w:hAnsi="ＭＳ 明朝"/>
          <w:sz w:val="16"/>
        </w:rPr>
        <w:t xml:space="preserve"> </w:t>
      </w:r>
      <w:r>
        <w:rPr>
          <w:rFonts w:hint="eastAsia" w:ascii="ＭＳ 明朝" w:hAnsi="ＭＳ 明朝"/>
          <w:sz w:val="16"/>
        </w:rPr>
        <w:t>学校教育法（昭和２２年法律第２６号）第１条に規定する小学校，中学校，高等学校，中等教育学校，特別支援学校，大学及び高等専門学校，同法第１２４条に規定する専修学校並びに同法第１３４条第１項に規定する各種学校をいう。</w:t>
      </w:r>
    </w:p>
    <w:p>
      <w:pPr>
        <w:pStyle w:val="0"/>
        <w:spacing w:line="220" w:lineRule="exact"/>
        <w:rPr>
          <w:rFonts w:hint="eastAsia" w:ascii="ＭＳ 明朝" w:hAnsi="ＭＳ 明朝"/>
          <w:sz w:val="16"/>
        </w:rPr>
      </w:pPr>
      <w:r>
        <w:rPr>
          <w:rFonts w:hint="eastAsia" w:ascii="ＭＳ 明朝" w:hAnsi="ＭＳ 明朝"/>
          <w:sz w:val="16"/>
        </w:rPr>
        <w:t>（基本理念）</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第３条</w:t>
      </w:r>
      <w:r>
        <w:rPr>
          <w:rFonts w:hint="eastAsia" w:ascii="ＭＳ 明朝" w:hAnsi="ＭＳ 明朝"/>
          <w:sz w:val="16"/>
        </w:rPr>
        <w:t xml:space="preserve"> </w:t>
      </w:r>
      <w:r>
        <w:rPr>
          <w:rFonts w:hint="eastAsia" w:ascii="ＭＳ 明朝" w:hAnsi="ＭＳ 明朝"/>
          <w:sz w:val="16"/>
        </w:rPr>
        <w:t>暴力団の排除は，暴力団が市民生活及び社会経済活動に悪影響を及ぼす存在であることを社会全体として認識した上で，暴力団を恐れないこと，暴力団に対して資金を提供しないこと及び暴力団を利用しないことを基本として，市，市民等，県，警察，関係団体その他関係行政機関の連携及び協力の下に推進されなければならない。</w:t>
      </w:r>
    </w:p>
    <w:p>
      <w:pPr>
        <w:pStyle w:val="0"/>
        <w:spacing w:line="220" w:lineRule="exact"/>
        <w:rPr>
          <w:rFonts w:hint="eastAsia" w:ascii="ＭＳ 明朝" w:hAnsi="ＭＳ 明朝"/>
          <w:sz w:val="16"/>
        </w:rPr>
      </w:pPr>
      <w:r>
        <w:rPr>
          <w:rFonts w:hint="eastAsia" w:ascii="ＭＳ 明朝" w:hAnsi="ＭＳ 明朝"/>
          <w:sz w:val="16"/>
        </w:rPr>
        <w:t>（市の責務）</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第４条</w:t>
      </w:r>
      <w:r>
        <w:rPr>
          <w:rFonts w:hint="eastAsia" w:ascii="ＭＳ 明朝" w:hAnsi="ＭＳ 明朝"/>
          <w:sz w:val="16"/>
        </w:rPr>
        <w:t xml:space="preserve"> </w:t>
      </w:r>
      <w:r>
        <w:rPr>
          <w:rFonts w:hint="eastAsia" w:ascii="ＭＳ 明朝" w:hAnsi="ＭＳ 明朝"/>
          <w:sz w:val="16"/>
        </w:rPr>
        <w:t>市は，前条に規定する基本理念（次条において「基本理念」という。）にのっとり，市民等，県，警察，関係団体その他関係行政機関と連携し，及び協力して，暴力団の排除に関する施策を総合的に推進するものとする。</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２</w:t>
      </w:r>
      <w:r>
        <w:rPr>
          <w:rFonts w:hint="eastAsia" w:ascii="ＭＳ 明朝" w:hAnsi="ＭＳ 明朝"/>
          <w:sz w:val="16"/>
        </w:rPr>
        <w:t xml:space="preserve"> </w:t>
      </w:r>
      <w:r>
        <w:rPr>
          <w:rFonts w:hint="eastAsia" w:ascii="ＭＳ 明朝" w:hAnsi="ＭＳ 明朝"/>
          <w:sz w:val="16"/>
        </w:rPr>
        <w:t>市は，市民等が暴力団の排除のための活動に自主的に，かつ，相互の連携を図り取組むことができるよう，市民等に対し，次の各号に掲げる支援を行うものとする。</w:t>
      </w:r>
    </w:p>
    <w:p>
      <w:pPr>
        <w:pStyle w:val="26"/>
        <w:numPr>
          <w:ilvl w:val="0"/>
          <w:numId w:val="2"/>
        </w:numPr>
        <w:spacing w:line="220" w:lineRule="exact"/>
        <w:ind w:leftChars="0" w:hanging="218"/>
        <w:rPr>
          <w:rFonts w:hint="eastAsia" w:ascii="ＭＳ 明朝" w:hAnsi="ＭＳ 明朝"/>
          <w:sz w:val="16"/>
        </w:rPr>
      </w:pPr>
      <w:r>
        <w:rPr>
          <w:rFonts w:hint="eastAsia" w:ascii="ＭＳ 明朝" w:hAnsi="ＭＳ 明朝"/>
          <w:sz w:val="16"/>
        </w:rPr>
        <w:t>暴力団の排除の重要性についての理解を深めるための広報及び啓発</w:t>
      </w:r>
    </w:p>
    <w:p>
      <w:pPr>
        <w:pStyle w:val="26"/>
        <w:numPr>
          <w:ilvl w:val="0"/>
          <w:numId w:val="2"/>
        </w:numPr>
        <w:spacing w:line="220" w:lineRule="exact"/>
        <w:ind w:leftChars="0" w:hanging="218"/>
        <w:rPr>
          <w:rFonts w:hint="eastAsia" w:ascii="ＭＳ 明朝" w:hAnsi="ＭＳ 明朝"/>
          <w:sz w:val="16"/>
        </w:rPr>
      </w:pPr>
      <w:r>
        <w:rPr>
          <w:rFonts w:hint="eastAsia" w:ascii="ＭＳ 明朝" w:hAnsi="ＭＳ 明朝"/>
          <w:sz w:val="16"/>
        </w:rPr>
        <w:t>暴力団の排除のための活動に必要な情報の提供及び助言</w:t>
      </w:r>
    </w:p>
    <w:p>
      <w:pPr>
        <w:pStyle w:val="26"/>
        <w:numPr>
          <w:ilvl w:val="0"/>
          <w:numId w:val="2"/>
        </w:numPr>
        <w:spacing w:line="220" w:lineRule="exact"/>
        <w:ind w:leftChars="0" w:hanging="218"/>
        <w:rPr>
          <w:rFonts w:hint="eastAsia" w:ascii="ＭＳ 明朝" w:hAnsi="ＭＳ 明朝"/>
          <w:sz w:val="16"/>
        </w:rPr>
      </w:pPr>
      <w:r>
        <w:rPr>
          <w:rFonts w:hint="eastAsia" w:ascii="ＭＳ 明朝" w:hAnsi="ＭＳ 明朝"/>
          <w:sz w:val="16"/>
        </w:rPr>
        <w:t>暴力団の排除のための活動に取組んだこと等により暴力団又は暴力団員等から危害を受けるおそれがあると認められる者に対する保護措置（岡山県暴力団排除条例（平成２２年岡山県条例第５７号）第１１条に規定する保護措置をいう。）の警察本部長への要請</w:t>
      </w:r>
    </w:p>
    <w:p>
      <w:pPr>
        <w:pStyle w:val="0"/>
        <w:spacing w:line="220" w:lineRule="exact"/>
        <w:rPr>
          <w:rFonts w:hint="eastAsia" w:ascii="ＭＳ 明朝" w:hAnsi="ＭＳ 明朝"/>
          <w:sz w:val="16"/>
        </w:rPr>
      </w:pPr>
      <w:r>
        <w:rPr>
          <w:rFonts w:hint="eastAsia" w:ascii="ＭＳ 明朝" w:hAnsi="ＭＳ 明朝"/>
          <w:sz w:val="16"/>
        </w:rPr>
        <w:t>（市民等の役割）</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第５条</w:t>
      </w:r>
      <w:r>
        <w:rPr>
          <w:rFonts w:hint="eastAsia" w:ascii="ＭＳ 明朝" w:hAnsi="ＭＳ 明朝"/>
          <w:sz w:val="16"/>
        </w:rPr>
        <w:t xml:space="preserve"> </w:t>
      </w:r>
      <w:r>
        <w:rPr>
          <w:rFonts w:hint="eastAsia" w:ascii="ＭＳ 明朝" w:hAnsi="ＭＳ 明朝"/>
          <w:sz w:val="16"/>
        </w:rPr>
        <w:t>市民等は，基本理念にのっとり，暴力団及び暴力団員等と社会的に非難されるべき関係をもたず，暴力団の排除のための活動に自主的に，かつ，連携及び協力を図りながら取組むとともに，市，県，警察，関係団体その他関係行政機関が実施する暴力団の排除に関する施策に協力するよう努めるものとする。</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２</w:t>
      </w:r>
      <w:r>
        <w:rPr>
          <w:rFonts w:hint="eastAsia" w:ascii="ＭＳ 明朝" w:hAnsi="ＭＳ 明朝"/>
          <w:sz w:val="16"/>
        </w:rPr>
        <w:t xml:space="preserve"> </w:t>
      </w:r>
      <w:r>
        <w:rPr>
          <w:rFonts w:hint="eastAsia" w:ascii="ＭＳ 明朝" w:hAnsi="ＭＳ 明朝"/>
          <w:sz w:val="16"/>
        </w:rPr>
        <w:t>市民等は，暴力団の排除に資すると認められる情報を得たときは，市又は警察署に対し，当該情報を提供するよう努めるものとする。</w:t>
      </w:r>
    </w:p>
    <w:p>
      <w:pPr>
        <w:pStyle w:val="0"/>
        <w:spacing w:line="220" w:lineRule="exact"/>
        <w:rPr>
          <w:rFonts w:hint="eastAsia" w:ascii="ＭＳ 明朝" w:hAnsi="ＭＳ 明朝"/>
          <w:sz w:val="16"/>
        </w:rPr>
      </w:pPr>
      <w:r>
        <w:rPr>
          <w:rFonts w:hint="eastAsia" w:ascii="ＭＳ 明朝" w:hAnsi="ＭＳ 明朝"/>
          <w:sz w:val="16"/>
        </w:rPr>
        <w:t>（公共工事等における措置）</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第６条</w:t>
      </w:r>
      <w:r>
        <w:rPr>
          <w:rFonts w:hint="eastAsia" w:ascii="ＭＳ 明朝" w:hAnsi="ＭＳ 明朝"/>
          <w:sz w:val="16"/>
        </w:rPr>
        <w:t xml:space="preserve"> </w:t>
      </w:r>
      <w:r>
        <w:rPr>
          <w:rFonts w:hint="eastAsia" w:ascii="ＭＳ 明朝" w:hAnsi="ＭＳ 明朝"/>
          <w:sz w:val="16"/>
        </w:rPr>
        <w:t>市は，公共工事その他の事務又は事業により暴力団を利することとならないよう，暴力団若しくは暴力団員等又はこれらと社会的に非難されるべき関係を有する者を入札に参加させない等の必要な措置を講ずるものとする。</w:t>
      </w:r>
    </w:p>
    <w:p>
      <w:pPr>
        <w:pStyle w:val="0"/>
        <w:spacing w:line="220" w:lineRule="exact"/>
        <w:rPr>
          <w:rFonts w:hint="eastAsia" w:ascii="ＭＳ 明朝" w:hAnsi="ＭＳ 明朝"/>
          <w:sz w:val="16"/>
        </w:rPr>
      </w:pPr>
      <w:r>
        <w:rPr>
          <w:rFonts w:hint="eastAsia" w:ascii="ＭＳ 明朝" w:hAnsi="ＭＳ 明朝"/>
          <w:sz w:val="16"/>
        </w:rPr>
        <w:t>（公共施設の利用における措置）</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第７条</w:t>
      </w:r>
      <w:r>
        <w:rPr>
          <w:rFonts w:hint="eastAsia" w:ascii="ＭＳ 明朝" w:hAnsi="ＭＳ 明朝"/>
          <w:sz w:val="16"/>
        </w:rPr>
        <w:t xml:space="preserve"> </w:t>
      </w:r>
      <w:r>
        <w:rPr>
          <w:rFonts w:hint="eastAsia" w:ascii="ＭＳ 明朝" w:hAnsi="ＭＳ 明朝"/>
          <w:sz w:val="16"/>
        </w:rPr>
        <w:t>市（地方自治法（昭和２２年法律第６７号）第２４４条の２第３項に規定する指定管理者を含む。）は，公共施設（市が設置し，又は管理する施設をいう。以下この条において同じ。）の使用又は利用が暴力団を利することとなると認められるときは，当該公共施設の管理について定める他の条例の規定にかかわらず，当該公共施設の使用又は利用を拒み，若しくは許可せず，又は既にした許可を取消すことができる。</w:t>
      </w:r>
    </w:p>
    <w:p>
      <w:pPr>
        <w:pStyle w:val="0"/>
        <w:spacing w:line="220" w:lineRule="exact"/>
        <w:rPr>
          <w:rFonts w:hint="eastAsia" w:ascii="ＭＳ 明朝" w:hAnsi="ＭＳ 明朝"/>
          <w:sz w:val="16"/>
        </w:rPr>
      </w:pPr>
      <w:r>
        <w:rPr>
          <w:rFonts w:hint="eastAsia" w:ascii="ＭＳ 明朝" w:hAnsi="ＭＳ 明朝"/>
          <w:sz w:val="16"/>
        </w:rPr>
        <w:t>（学校等における措置）</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第８条</w:t>
      </w:r>
      <w:r>
        <w:rPr>
          <w:rFonts w:hint="eastAsia" w:ascii="ＭＳ 明朝" w:hAnsi="ＭＳ 明朝"/>
          <w:sz w:val="16"/>
        </w:rPr>
        <w:t xml:space="preserve"> </w:t>
      </w:r>
      <w:r>
        <w:rPr>
          <w:rFonts w:hint="eastAsia" w:ascii="ＭＳ 明朝" w:hAnsi="ＭＳ 明朝"/>
          <w:sz w:val="16"/>
        </w:rPr>
        <w:t>市は，その設置する学校において，青少年が暴力団の排除の重要性を認識し，暴力団に加入せず，及び暴力団員等による犯罪の被害を受けないようにするための指導又は教育活動が必要に応じて行われるよう適切な措置を講ずるものとする。</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２</w:t>
      </w:r>
      <w:r>
        <w:rPr>
          <w:rFonts w:hint="eastAsia" w:ascii="ＭＳ 明朝" w:hAnsi="ＭＳ 明朝"/>
          <w:sz w:val="16"/>
        </w:rPr>
        <w:t xml:space="preserve"> </w:t>
      </w:r>
      <w:r>
        <w:rPr>
          <w:rFonts w:hint="eastAsia" w:ascii="ＭＳ 明朝" w:hAnsi="ＭＳ 明朝"/>
          <w:sz w:val="16"/>
        </w:rPr>
        <w:t>市は，前項に規定する青少年に対する指導又は教育活動の目的を達成するため，市内に所在する学校（市が設置するものを除く。）又は青少年の教育に携わる者が，青少年に対し，指導，助言その他の適切な措置を講ずることができるようこれらの者に対し，情報の提供その他必要な支援又は協力を行うものとする。</w:t>
      </w:r>
    </w:p>
    <w:p>
      <w:pPr>
        <w:pStyle w:val="0"/>
        <w:spacing w:line="220" w:lineRule="exact"/>
        <w:rPr>
          <w:rFonts w:hint="eastAsia" w:ascii="ＭＳ 明朝" w:hAnsi="ＭＳ 明朝"/>
          <w:sz w:val="16"/>
        </w:rPr>
      </w:pPr>
      <w:r>
        <w:rPr>
          <w:rFonts w:hint="eastAsia" w:ascii="ＭＳ 明朝" w:hAnsi="ＭＳ 明朝"/>
          <w:sz w:val="16"/>
        </w:rPr>
        <w:t>（利益供与の禁止等）</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第９条</w:t>
      </w:r>
      <w:r>
        <w:rPr>
          <w:rFonts w:hint="eastAsia" w:ascii="ＭＳ 明朝" w:hAnsi="ＭＳ 明朝"/>
          <w:sz w:val="16"/>
        </w:rPr>
        <w:t xml:space="preserve"> </w:t>
      </w:r>
      <w:r>
        <w:rPr>
          <w:rFonts w:hint="eastAsia" w:ascii="ＭＳ 明朝" w:hAnsi="ＭＳ 明朝"/>
          <w:sz w:val="16"/>
        </w:rPr>
        <w:t>市民等は，暴力団の活動を助長し，又は運営に資する目的で，暴力団員等又は暴力団員等が指定する者に対し，金品その他の財産上の利益を供与してはならない。</w:t>
      </w:r>
    </w:p>
    <w:p>
      <w:pPr>
        <w:pStyle w:val="0"/>
        <w:spacing w:line="220" w:lineRule="exact"/>
        <w:rPr>
          <w:rFonts w:hint="eastAsia" w:ascii="ＭＳ 明朝" w:hAnsi="ＭＳ 明朝"/>
          <w:sz w:val="16"/>
        </w:rPr>
      </w:pPr>
      <w:r>
        <w:rPr>
          <w:rFonts w:hint="eastAsia" w:ascii="ＭＳ 明朝" w:hAnsi="ＭＳ 明朝"/>
          <w:sz w:val="16"/>
        </w:rPr>
        <w:t>（暴力団の威力の利用等の禁止）</w:t>
      </w:r>
    </w:p>
    <w:p>
      <w:pPr>
        <w:pStyle w:val="0"/>
        <w:spacing w:line="220" w:lineRule="exact"/>
        <w:ind w:left="160" w:hanging="160" w:hangingChars="100"/>
        <w:rPr>
          <w:rFonts w:hint="eastAsia" w:ascii="ＭＳ 明朝" w:hAnsi="ＭＳ 明朝"/>
          <w:sz w:val="16"/>
        </w:rPr>
      </w:pPr>
      <w:r>
        <w:rPr>
          <w:rFonts w:hint="eastAsia" w:ascii="ＭＳ 明朝" w:hAnsi="ＭＳ 明朝"/>
          <w:sz w:val="16"/>
        </w:rPr>
        <w:t>第１０条</w:t>
      </w:r>
      <w:r>
        <w:rPr>
          <w:rFonts w:hint="eastAsia" w:ascii="ＭＳ 明朝" w:hAnsi="ＭＳ 明朝"/>
          <w:sz w:val="16"/>
        </w:rPr>
        <w:t xml:space="preserve"> </w:t>
      </w:r>
      <w:r>
        <w:rPr>
          <w:rFonts w:hint="eastAsia" w:ascii="ＭＳ 明朝" w:hAnsi="ＭＳ 明朝"/>
          <w:sz w:val="16"/>
        </w:rPr>
        <w:t>市民等は，債権の回収，紛争の解決等に関して暴力団員等を利用すること，自己が暴力団と関係があることを認識させて相手方を威圧すること等，暴力団の威力を利用してはならない。</w:t>
      </w:r>
    </w:p>
    <w:p>
      <w:pPr>
        <w:pStyle w:val="0"/>
        <w:spacing w:line="220" w:lineRule="exact"/>
        <w:rPr>
          <w:rFonts w:hint="eastAsia" w:ascii="ＭＳ 明朝" w:hAnsi="ＭＳ 明朝"/>
          <w:sz w:val="16"/>
        </w:rPr>
      </w:pPr>
      <w:r>
        <w:rPr>
          <w:rFonts w:hint="eastAsia" w:ascii="ＭＳ 明朝" w:hAnsi="ＭＳ 明朝"/>
          <w:sz w:val="16"/>
        </w:rPr>
        <w:t>（委任）</w:t>
      </w:r>
    </w:p>
    <w:p>
      <w:pPr>
        <w:pStyle w:val="0"/>
        <w:spacing w:line="220" w:lineRule="exact"/>
        <w:rPr>
          <w:rFonts w:hint="eastAsia" w:ascii="ＭＳ 明朝" w:hAnsi="ＭＳ 明朝"/>
          <w:sz w:val="16"/>
        </w:rPr>
      </w:pPr>
      <w:r>
        <w:rPr>
          <w:rFonts w:hint="eastAsia" w:ascii="ＭＳ 明朝" w:hAnsi="ＭＳ 明朝"/>
          <w:sz w:val="16"/>
        </w:rPr>
        <w:t>第１１条</w:t>
      </w:r>
      <w:r>
        <w:rPr>
          <w:rFonts w:hint="eastAsia" w:ascii="ＭＳ 明朝" w:hAnsi="ＭＳ 明朝"/>
          <w:sz w:val="16"/>
        </w:rPr>
        <w:t xml:space="preserve"> </w:t>
      </w:r>
      <w:r>
        <w:rPr>
          <w:rFonts w:hint="eastAsia" w:ascii="ＭＳ 明朝" w:hAnsi="ＭＳ 明朝"/>
          <w:sz w:val="16"/>
        </w:rPr>
        <w:t>この条例に定めるもののほか，この条例の施行に関し必要な事項は，市長が別に定める。</w:t>
      </w:r>
    </w:p>
    <w:p>
      <w:pPr>
        <w:pStyle w:val="0"/>
        <w:spacing w:line="220" w:lineRule="exact"/>
        <w:rPr>
          <w:rFonts w:hint="eastAsia" w:ascii="ＭＳ 明朝" w:hAnsi="ＭＳ 明朝"/>
          <w:sz w:val="16"/>
        </w:rPr>
      </w:pPr>
    </w:p>
    <w:p>
      <w:pPr>
        <w:pStyle w:val="0"/>
        <w:spacing w:line="220" w:lineRule="exact"/>
        <w:rPr>
          <w:rFonts w:hint="default" w:ascii="ＭＳ 明朝" w:hAnsi="ＭＳ 明朝"/>
          <w:sz w:val="16"/>
        </w:rPr>
      </w:pPr>
      <w:r>
        <w:rPr>
          <w:rFonts w:hint="eastAsia" w:ascii="ＭＳ 明朝" w:hAnsi="ＭＳ 明朝"/>
          <w:sz w:val="16"/>
        </w:rPr>
        <w:t>付</w:t>
      </w:r>
      <w:r>
        <w:rPr>
          <w:rFonts w:hint="eastAsia" w:ascii="ＭＳ 明朝" w:hAnsi="ＭＳ 明朝"/>
          <w:sz w:val="16"/>
        </w:rPr>
        <w:t xml:space="preserve"> </w:t>
      </w:r>
      <w:r>
        <w:rPr>
          <w:rFonts w:hint="eastAsia" w:ascii="ＭＳ 明朝" w:hAnsi="ＭＳ 明朝"/>
          <w:sz w:val="16"/>
        </w:rPr>
        <w:t>則　この条例は，平成２３年１１月１日から施行する。</w:t>
      </w:r>
    </w:p>
    <w:sectPr>
      <w:headerReference r:id="rId6" w:type="default"/>
      <w:pgSz w:w="11906" w:h="16838"/>
      <w:pgMar w:top="1418" w:right="1416" w:bottom="851" w:left="1701"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ゴシック" w:hAnsi="ＭＳ ゴシック" w:eastAsia="ＭＳ ゴシック"/>
        <w:sz w:val="5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8E765E"/>
    <w:lvl w:ilvl="0" w:tplc="8562A01A">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816447A"/>
    <w:lvl w:ilvl="0" w:tplc="6E7291CE">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TML Cite"/>
    <w:next w:val="15"/>
    <w:link w:val="0"/>
    <w:uiPriority w:val="0"/>
    <w:rPr>
      <w:i w:val="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kern w:val="2"/>
      <w:sz w:val="21"/>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kern w:val="2"/>
      <w:sz w:val="2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3</Pages>
  <Words>2</Words>
  <Characters>3069</Characters>
  <Application>JUST Note</Application>
  <Lines>152</Lines>
  <Paragraphs>85</Paragraphs>
  <Company>長野市役所</Company>
  <CharactersWithSpaces>3245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http://www</dc:title>
  <dc:creator>とどろきともえ</dc:creator>
  <cp:lastModifiedBy>HISHO</cp:lastModifiedBy>
  <cp:lastPrinted>2021-03-16T06:10:49Z</cp:lastPrinted>
  <dcterms:created xsi:type="dcterms:W3CDTF">2016-06-28T02:56:00Z</dcterms:created>
  <dcterms:modified xsi:type="dcterms:W3CDTF">2021-04-02T01:30:09Z</dcterms:modified>
  <cp:revision>8</cp:revision>
</cp:coreProperties>
</file>