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after="164" w:afterLines="50" w:afterAutospacing="0"/>
        <w:jc w:val="center"/>
        <w:rPr>
          <w:rFonts w:hint="default" w:asciiTheme="majorEastAsia" w:hAnsiTheme="majorEastAsia" w:eastAsiaTheme="majorEastAsia"/>
          <w:b w:val="1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資源回収推進事業</w:t>
      </w:r>
      <w:r>
        <w:rPr>
          <w:rFonts w:hint="eastAsia" w:asciiTheme="majorEastAsia" w:hAnsiTheme="majorEastAsia" w:eastAsiaTheme="majorEastAsia"/>
          <w:b w:val="1"/>
          <w:sz w:val="40"/>
        </w:rPr>
        <w:fldChar w:fldCharType="begin"/>
      </w:r>
      <w:r>
        <w:rPr>
          <w:rFonts w:hint="eastAsia" w:asciiTheme="majorEastAsia" w:hAnsiTheme="majorEastAsia" w:eastAsiaTheme="majorEastAsia"/>
          <w:b w:val="1"/>
          <w:sz w:val="40"/>
        </w:rPr>
        <w:instrText>EQ \* jc2 \* hps20 \o\ad(\s\up 19(</w:instrText>
      </w:r>
      <w:r>
        <w:rPr>
          <w:rFonts w:hint="eastAsia" w:asciiTheme="majorEastAsia" w:hAnsiTheme="majorEastAsia" w:eastAsiaTheme="majorEastAsia"/>
          <w:b w:val="1"/>
          <w:sz w:val="20"/>
        </w:rPr>
        <w:instrText>ほ</w:instrText>
      </w:r>
      <w:r>
        <w:rPr>
          <w:rFonts w:hint="eastAsia" w:asciiTheme="majorEastAsia" w:hAnsiTheme="majorEastAsia" w:eastAsiaTheme="majorEastAsia"/>
          <w:b w:val="1"/>
          <w:sz w:val="20"/>
        </w:rPr>
        <w:instrText>う</w:instrText>
      </w:r>
      <w:r>
        <w:rPr>
          <w:rFonts w:hint="eastAsia" w:asciiTheme="majorEastAsia" w:hAnsiTheme="majorEastAsia" w:eastAsiaTheme="majorEastAsia"/>
          <w:b w:val="1"/>
          <w:sz w:val="20"/>
        </w:rPr>
        <w:instrText>し</w:instrText>
      </w:r>
      <w:r>
        <w:rPr>
          <w:rFonts w:hint="eastAsia" w:asciiTheme="majorEastAsia" w:hAnsiTheme="majorEastAsia" w:eastAsiaTheme="majorEastAsia"/>
          <w:b w:val="1"/>
          <w:sz w:val="20"/>
        </w:rPr>
        <w:instrText>ょ</w:instrText>
      </w:r>
      <w:r>
        <w:rPr>
          <w:rFonts w:hint="eastAsia" w:asciiTheme="majorEastAsia" w:hAnsiTheme="majorEastAsia" w:eastAsiaTheme="majorEastAsia"/>
          <w:b w:val="1"/>
          <w:sz w:val="20"/>
        </w:rPr>
        <w:instrText>う</w:instrText>
      </w:r>
      <w:r>
        <w:rPr>
          <w:rFonts w:hint="eastAsia" w:asciiTheme="majorEastAsia" w:hAnsiTheme="majorEastAsia" w:eastAsiaTheme="majorEastAsia"/>
          <w:b w:val="1"/>
          <w:sz w:val="20"/>
        </w:rPr>
        <w:instrText>き</w:instrText>
      </w:r>
      <w:r>
        <w:rPr>
          <w:rFonts w:hint="eastAsia" w:asciiTheme="majorEastAsia" w:hAnsiTheme="majorEastAsia" w:eastAsiaTheme="majorEastAsia"/>
          <w:b w:val="1"/>
          <w:sz w:val="20"/>
        </w:rPr>
        <w:instrText>ん</w:instrText>
      </w:r>
      <w:r>
        <w:rPr>
          <w:rFonts w:hint="eastAsia" w:asciiTheme="majorEastAsia" w:hAnsiTheme="majorEastAsia" w:eastAsiaTheme="majorEastAsia"/>
          <w:b w:val="1"/>
          <w:sz w:val="40"/>
        </w:rPr>
        <w:instrText>),</w:instrText>
      </w:r>
      <w:r>
        <w:rPr>
          <w:rFonts w:hint="eastAsia" w:asciiTheme="majorEastAsia" w:hAnsiTheme="majorEastAsia" w:eastAsiaTheme="majorEastAsia"/>
          <w:b w:val="1"/>
          <w:sz w:val="40"/>
        </w:rPr>
        <w:instrText>報奨金</w:instrText>
      </w:r>
      <w:r>
        <w:rPr>
          <w:rFonts w:hint="eastAsia" w:asciiTheme="majorEastAsia" w:hAnsiTheme="majorEastAsia" w:eastAsiaTheme="majorEastAsia"/>
          <w:b w:val="1"/>
          <w:sz w:val="40"/>
        </w:rPr>
        <w:instrText>)</w:instrText>
      </w:r>
      <w:r>
        <w:rPr>
          <w:rFonts w:hint="eastAsia" w:asciiTheme="majorEastAsia" w:hAnsiTheme="majorEastAsia" w:eastAsiaTheme="majorEastAsia"/>
          <w:b w:val="1"/>
          <w:sz w:val="40"/>
        </w:rPr>
        <w:fldChar w:fldCharType="end"/>
      </w:r>
      <w:r>
        <w:rPr>
          <w:rFonts w:hint="eastAsia" w:asciiTheme="majorEastAsia" w:hAnsiTheme="majorEastAsia" w:eastAsiaTheme="majorEastAsia"/>
          <w:b w:val="1"/>
          <w:sz w:val="40"/>
        </w:rPr>
        <w:t>に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40"/>
        </w:rPr>
        <w:t>ついて</w:t>
      </w:r>
    </w:p>
    <w:p>
      <w:pPr>
        <w:pStyle w:val="0"/>
        <w:snapToGrid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資源回収推進事業報奨金（以下、報奨金）は、地域で古紙や古布を回収した非営利団体（子供会や老人会、町内会など）に、回収量に応じて支払われるもので、地域における資源回収の支援を目的としています。</w:t>
      </w:r>
    </w:p>
    <w:p>
      <w:pPr>
        <w:pStyle w:val="0"/>
        <w:snapToGrid w:val="0"/>
        <w:spacing w:after="164" w:afterLines="50" w:afterAutospacing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地域のアパートの入居者や、お年寄りだけのお宅にも、資源回収実施のチラシを配るなどして、積極的に参加を呼びかけてください。</w:t>
      </w:r>
    </w:p>
    <w:p>
      <w:pPr>
        <w:pStyle w:val="0"/>
        <w:snapToGrid w:val="0"/>
        <w:spacing w:before="328" w:beforeLines="100" w:beforeAutospacing="0" w:after="164" w:afterLines="50" w:afterAutospacing="0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１　対象となる団体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報奨金を申請するためには、市に団体登録する必要があります。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登録する団体は、次のすべてに該当しなければなりません。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（１）資源（家庭から出されるもの）を自主的に回収すること。</w:t>
      </w:r>
    </w:p>
    <w:p>
      <w:pPr>
        <w:pStyle w:val="0"/>
        <w:snapToGrid w:val="0"/>
        <w:ind w:left="1051" w:leftChars="400" w:hanging="211" w:hangingChars="100"/>
        <w:rPr>
          <w:rFonts w:hint="default" w:ascii="HG丸ｺﾞｼｯｸM-PRO" w:hAnsi="HG丸ｺﾞｼｯｸM-PRO" w:eastAsia="HG丸ｺﾞｼｯｸM-PRO"/>
          <w:b w:val="1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u w:val="single" w:color="auto"/>
        </w:rPr>
        <w:t>※会社、事業所、学校、福祉施設などから出るものは、報奨金の対象になりません。集める場合は、別にして業者へ引き渡してください。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（２）営業を目的としない団体であること。個人ではないこと。</w:t>
      </w:r>
    </w:p>
    <w:p>
      <w:pPr>
        <w:pStyle w:val="0"/>
        <w:spacing w:after="164" w:afterLines="50" w:afterAutospacing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（３）活動の拠点が津山市内であること。</w:t>
      </w:r>
    </w:p>
    <w:p>
      <w:pPr>
        <w:pStyle w:val="0"/>
        <w:snapToGrid w:val="0"/>
        <w:spacing w:before="328" w:beforeLines="100" w:beforeAutospacing="0" w:after="164" w:afterLines="50" w:afterAutospacing="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２　</w:t>
      </w:r>
      <w:r>
        <w:rPr>
          <w:rFonts w:hint="eastAsia" w:ascii="ＭＳ ゴシック" w:hAnsi="ＭＳ ゴシック" w:eastAsia="ＭＳ ゴシック"/>
          <w:b w:val="1"/>
          <w:sz w:val="28"/>
        </w:rPr>
        <w:t>団体登録について</w:t>
      </w:r>
    </w:p>
    <w:p>
      <w:pPr>
        <w:pStyle w:val="0"/>
        <w:tabs>
          <w:tab w:val="left" w:leader="none" w:pos="5400"/>
        </w:tabs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毎年度、団体登録が必要です。</w:t>
      </w:r>
    </w:p>
    <w:p>
      <w:pPr>
        <w:pStyle w:val="0"/>
        <w:tabs>
          <w:tab w:val="left" w:leader="none" w:pos="5400"/>
        </w:tabs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毎年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月頃に団体登録申請書を送付します。記入のうえ、ご返送ください。</w:t>
      </w:r>
    </w:p>
    <w:p>
      <w:pPr>
        <w:pStyle w:val="0"/>
        <w:tabs>
          <w:tab w:val="left" w:leader="none" w:pos="5400"/>
        </w:tabs>
        <w:spacing w:after="164" w:afterLines="50" w:afterAutospacing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代表者が変わった時は、団体登録をしなおす必要があります。</w:t>
      </w:r>
      <w:r>
        <w:rPr>
          <w:rFonts w:hint="eastAsia" w:ascii="HG丸ｺﾞｼｯｸM-PRO" w:hAnsi="HG丸ｺﾞｼｯｸM-PRO" w:eastAsia="HG丸ｺﾞｼｯｸM-PRO"/>
          <w:sz w:val="24"/>
          <w:u w:val="double" w:color="auto"/>
        </w:rPr>
        <w:t>速やかにご連絡ください。</w:t>
      </w:r>
    </w:p>
    <w:p>
      <w:pPr>
        <w:pStyle w:val="0"/>
        <w:snapToGrid w:val="0"/>
        <w:spacing w:before="328" w:beforeLines="100" w:beforeAutospacing="0" w:after="164" w:afterLines="50" w:afterAutospacing="0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３　報奨金対象となる物と報奨金額（令和元年度予定）</w:t>
      </w:r>
    </w:p>
    <w:tbl>
      <w:tblPr>
        <w:tblStyle w:val="11"/>
        <w:tblW w:w="7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88"/>
        <w:gridCol w:w="3510"/>
        <w:gridCol w:w="2389"/>
      </w:tblGrid>
      <w:tr>
        <w:trPr/>
        <w:tc>
          <w:tcPr>
            <w:tcW w:w="469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回収品目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報奨金額</w:t>
            </w:r>
            <w:r>
              <w:rPr>
                <w:rFonts w:hint="eastAsia" w:ascii="HG丸ｺﾞｼｯｸM-PRO" w:hAnsi="HG丸ｺﾞｼｯｸM-PRO" w:eastAsia="HG丸ｺﾞｼｯｸM-PRO"/>
                <w:sz w:val="24"/>
                <w:vertAlign w:val="superscript"/>
              </w:rPr>
              <w:t>※</w:t>
            </w:r>
          </w:p>
        </w:tc>
      </w:tr>
      <w:tr>
        <w:trPr>
          <w:cantSplit/>
        </w:trPr>
        <w:tc>
          <w:tcPr>
            <w:tcW w:w="1188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古紙類</w:t>
            </w:r>
          </w:p>
        </w:tc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新聞紙、雑誌類、ダンボール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５円</w:t>
            </w:r>
          </w:p>
        </w:tc>
      </w:tr>
      <w:tr>
        <w:trPr>
          <w:cantSplit/>
        </w:trPr>
        <w:tc>
          <w:tcPr>
            <w:tcW w:w="1188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牛乳パック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０円</w:t>
            </w:r>
          </w:p>
        </w:tc>
      </w:tr>
      <w:tr>
        <w:trPr>
          <w:cantSplit/>
        </w:trPr>
        <w:tc>
          <w:tcPr>
            <w:tcW w:w="1188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その他紙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６円</w:t>
            </w:r>
          </w:p>
        </w:tc>
      </w:tr>
      <w:tr>
        <w:trPr>
          <w:cantSplit/>
        </w:trPr>
        <w:tc>
          <w:tcPr>
            <w:tcW w:w="118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繊維類</w:t>
            </w:r>
          </w:p>
        </w:tc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古着・布類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６円</w:t>
            </w:r>
          </w:p>
        </w:tc>
      </w:tr>
      <w:tr>
        <w:trPr>
          <w:cantSplit/>
        </w:trPr>
        <w:tc>
          <w:tcPr>
            <w:tcW w:w="118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ビン類</w:t>
            </w:r>
          </w:p>
        </w:tc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生ビン、カレット類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０円</w:t>
            </w:r>
          </w:p>
        </w:tc>
      </w:tr>
      <w:tr>
        <w:trPr>
          <w:cantSplit/>
        </w:trPr>
        <w:tc>
          <w:tcPr>
            <w:tcW w:w="118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金属類</w:t>
            </w:r>
          </w:p>
        </w:tc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スチール缶、アルミ類、その他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０円</w:t>
            </w:r>
          </w:p>
        </w:tc>
      </w:tr>
      <w:tr>
        <w:trPr>
          <w:cantSplit/>
        </w:trPr>
        <w:tc>
          <w:tcPr>
            <w:tcW w:w="4698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その他有価物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>０円</w:t>
            </w:r>
          </w:p>
        </w:tc>
      </w:tr>
    </w:tbl>
    <w:p>
      <w:pPr>
        <w:pStyle w:val="0"/>
        <w:tabs>
          <w:tab w:val="left" w:leader="none" w:pos="2931"/>
        </w:tabs>
        <w:spacing w:before="164" w:beforeLines="50" w:beforeAutospacing="0" w:line="60" w:lineRule="atLeast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※１キロあたりの金額</w:t>
      </w:r>
      <w:r>
        <w:rPr>
          <w:rFonts w:hint="default" w:ascii="HG丸ｺﾞｼｯｸM-PRO" w:hAnsi="HG丸ｺﾞｼｯｸM-PRO" w:eastAsia="HG丸ｺﾞｼｯｸM-PRO"/>
        </w:rPr>
        <w:tab/>
      </w:r>
    </w:p>
    <w:p>
      <w:pPr>
        <w:pStyle w:val="0"/>
        <w:spacing w:before="164" w:beforeLines="50" w:beforeAutospacing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◇回収業者は古紙・繊維類については、無料で引き取るか、買い取ってくれます。その他のものに関しては、回収業者とご相談ください。</w:t>
      </w:r>
    </w:p>
    <w:p>
      <w:pPr>
        <w:pStyle w:val="0"/>
        <w:spacing w:before="164" w:beforeLines="50" w:beforeAutospacing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tabs>
          <w:tab w:val="left" w:leader="none" w:pos="5400"/>
        </w:tabs>
        <w:snapToGrid w:val="0"/>
        <w:spacing w:after="164" w:afterLines="50" w:afterAutospacing="0"/>
        <w:rPr>
          <w:rFonts w:hint="default" w:ascii="ＭＳ ゴシック" w:hAnsi="ＭＳ ゴシック" w:eastAsia="ＭＳ ゴシック"/>
          <w:b w:val="1"/>
          <w:sz w:val="1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４　資源回収登録業者（令和元年度）</w:t>
      </w:r>
    </w:p>
    <w:p>
      <w:pPr>
        <w:pStyle w:val="0"/>
        <w:tabs>
          <w:tab w:val="left" w:leader="none" w:pos="5400"/>
        </w:tabs>
        <w:spacing w:after="164" w:afterLines="50" w:afterAutospacing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資源回収を実施する場合には、事前に下記の登録業者に収集依頼をして、回収品目・回収頻度・日程などの打ち合わせをしてから、実施してください。</w:t>
      </w:r>
    </w:p>
    <w:tbl>
      <w:tblPr>
        <w:tblStyle w:val="11"/>
        <w:tblW w:w="8499" w:type="dxa"/>
        <w:jc w:val="left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60"/>
        <w:gridCol w:w="2826"/>
        <w:gridCol w:w="2313"/>
      </w:tblGrid>
      <w:tr>
        <w:trPr>
          <w:trHeight w:val="363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16" w:firstLineChars="98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業　　　者　　　名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649" w:firstLineChars="294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住　　　　所</w:t>
            </w:r>
          </w:p>
        </w:tc>
        <w:tc>
          <w:tcPr>
            <w:tcW w:w="2313" w:type="dxa"/>
            <w:vAlign w:val="top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電　話　番　号</w:t>
            </w:r>
          </w:p>
        </w:tc>
      </w:tr>
      <w:tr>
        <w:trPr>
          <w:trHeight w:val="294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アテナ資源（株）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二宮１８９５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２８－３００８</w:t>
            </w:r>
          </w:p>
        </w:tc>
      </w:tr>
      <w:tr>
        <w:trPr>
          <w:trHeight w:val="294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（財）あばグリーン公社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阿波１２１６－１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４６－７０７０</w:t>
            </w:r>
          </w:p>
        </w:tc>
      </w:tr>
      <w:tr>
        <w:trPr>
          <w:trHeight w:val="375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（株）江見リサイクル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小田中１０９７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２４－５２８８</w:t>
            </w:r>
          </w:p>
        </w:tc>
      </w:tr>
      <w:tr>
        <w:trPr>
          <w:trHeight w:val="334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（株）大下商店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18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院庄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935-1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ｱｲﾝｽﾞｱｲ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201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号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0867-42-4532</w:t>
            </w:r>
          </w:p>
        </w:tc>
      </w:tr>
      <w:tr>
        <w:trPr>
          <w:trHeight w:val="334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（有）鶴山衛生センター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小原５２－１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２２－２３００</w:t>
            </w:r>
          </w:p>
        </w:tc>
      </w:tr>
      <w:tr>
        <w:trPr>
          <w:trHeight w:val="320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（株）カナシマ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　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皿６１８－１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２８－０６２１</w:t>
            </w:r>
          </w:p>
        </w:tc>
      </w:tr>
      <w:tr>
        <w:trPr>
          <w:trHeight w:val="319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末沢商店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川崎８２０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２２－３７７８</w:t>
            </w:r>
          </w:p>
        </w:tc>
      </w:tr>
      <w:tr>
        <w:trPr>
          <w:trHeight w:val="291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全本金属興業（株）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瓜生原２０４－１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２６－８０００</w:t>
            </w:r>
          </w:p>
        </w:tc>
      </w:tr>
      <w:tr>
        <w:trPr>
          <w:trHeight w:val="290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津山解体（有）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 xml:space="preserve">        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河辺１４９４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２６－１２６１</w:t>
            </w:r>
          </w:p>
        </w:tc>
      </w:tr>
      <w:tr>
        <w:trPr>
          <w:trHeight w:val="355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津山工業原料（株）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草加部１１７０－２２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２９－２３３３</w:t>
            </w:r>
          </w:p>
        </w:tc>
      </w:tr>
      <w:tr>
        <w:trPr>
          <w:trHeight w:val="325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（株）丸岩産業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神戸５０９－２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２８－０５１０</w:t>
            </w:r>
          </w:p>
        </w:tc>
      </w:tr>
      <w:tr>
        <w:trPr>
          <w:trHeight w:val="276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明和製紙原料（株）津山営業所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河辺１０６２－１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２６－５７００</w:t>
            </w:r>
          </w:p>
        </w:tc>
      </w:tr>
      <w:tr>
        <w:trPr>
          <w:trHeight w:val="247" w:hRule="atLeast"/>
        </w:trPr>
        <w:tc>
          <w:tcPr>
            <w:tcW w:w="3360" w:type="dxa"/>
            <w:vAlign w:val="top"/>
          </w:tcPr>
          <w:p>
            <w:pPr>
              <w:pStyle w:val="0"/>
              <w:tabs>
                <w:tab w:val="left" w:leader="none" w:pos="5400"/>
              </w:tabs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ロードテック（株）津山支店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tabs>
                <w:tab w:val="left" w:leader="none" w:pos="5400"/>
              </w:tabs>
              <w:ind w:firstLine="221" w:firstLineChars="10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大田４９３－７</w:t>
            </w:r>
          </w:p>
        </w:tc>
        <w:tc>
          <w:tcPr>
            <w:tcW w:w="2313" w:type="dxa"/>
            <w:vAlign w:val="center"/>
          </w:tcPr>
          <w:p>
            <w:pPr>
              <w:pStyle w:val="0"/>
              <w:tabs>
                <w:tab w:val="left" w:leader="none" w:pos="5400"/>
              </w:tabs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２７－２５８１</w:t>
            </w:r>
          </w:p>
        </w:tc>
      </w:tr>
    </w:tbl>
    <w:p>
      <w:pPr>
        <w:pStyle w:val="0"/>
        <w:tabs>
          <w:tab w:val="left" w:leader="none" w:pos="5400"/>
        </w:tabs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（五十音順）</w:t>
      </w:r>
    </w:p>
    <w:p>
      <w:pPr>
        <w:pStyle w:val="0"/>
        <w:tabs>
          <w:tab w:val="left" w:leader="none" w:pos="5400"/>
        </w:tabs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５　報奨金支払いの手続きについて</w:t>
      </w:r>
    </w:p>
    <w:p>
      <w:pPr>
        <w:pStyle w:val="0"/>
        <w:tabs>
          <w:tab w:val="left" w:leader="none" w:pos="5400"/>
        </w:tabs>
        <w:ind w:left="690" w:leftChars="100" w:hanging="480" w:hanging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（１）前期（３月～８月）実施分、後期（</w:t>
      </w:r>
      <w:r>
        <w:rPr>
          <w:rFonts w:hint="eastAsia" w:ascii="HG丸ｺﾞｼｯｸM-PRO" w:hAnsi="HG丸ｺﾞｼｯｸM-PRO" w:eastAsia="HG丸ｺﾞｼｯｸM-PRO"/>
          <w:sz w:val="24"/>
        </w:rPr>
        <w:t>9</w:t>
      </w:r>
      <w:r>
        <w:rPr>
          <w:rFonts w:hint="eastAsia" w:ascii="HG丸ｺﾞｼｯｸM-PRO" w:hAnsi="HG丸ｺﾞｼｯｸM-PRO" w:eastAsia="HG丸ｺﾞｼｯｸM-PRO"/>
          <w:sz w:val="24"/>
        </w:rPr>
        <w:t>月～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月）実施分を、それぞれ一括して申請してください。</w:t>
      </w:r>
    </w:p>
    <w:p>
      <w:pPr>
        <w:pStyle w:val="0"/>
        <w:tabs>
          <w:tab w:val="left" w:leader="none" w:pos="5400"/>
        </w:tabs>
        <w:ind w:left="690" w:leftChars="100" w:hanging="480" w:hanging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（２）申請には、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資源回収推進団体報奨金交付申請書</w:t>
      </w:r>
      <w:r>
        <w:rPr>
          <w:rFonts w:hint="eastAsia" w:ascii="HG丸ｺﾞｼｯｸM-PRO" w:hAnsi="HG丸ｺﾞｼｯｸM-PRO" w:eastAsia="HG丸ｺﾞｼｯｸM-PRO"/>
          <w:sz w:val="24"/>
        </w:rPr>
        <w:t>と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資源回収買上明細書</w:t>
      </w:r>
      <w:r>
        <w:rPr>
          <w:rFonts w:hint="eastAsia" w:ascii="HG丸ｺﾞｼｯｸM-PRO" w:hAnsi="HG丸ｺﾞｼｯｸM-PRO" w:eastAsia="HG丸ｺﾞｼｯｸM-PRO"/>
          <w:sz w:val="24"/>
        </w:rPr>
        <w:t>が必要です。</w:t>
      </w:r>
    </w:p>
    <w:p>
      <w:pPr>
        <w:pStyle w:val="0"/>
        <w:tabs>
          <w:tab w:val="left" w:leader="none" w:pos="5400"/>
        </w:tabs>
        <w:ind w:left="690" w:leftChars="100" w:hanging="480" w:hanging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（３）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申請書の提出期限は、前期９月１５日、後期３月１５日です。</w:t>
      </w:r>
      <w:r>
        <w:rPr>
          <w:rFonts w:hint="eastAsia" w:ascii="HG丸ｺﾞｼｯｸM-PRO" w:hAnsi="HG丸ｺﾞｼｯｸM-PRO" w:eastAsia="HG丸ｺﾞｼｯｸM-PRO"/>
          <w:sz w:val="24"/>
        </w:rPr>
        <w:t>期限を過ぎると報奨金を支払えませんのでお気をつけください。</w:t>
      </w:r>
    </w:p>
    <w:p>
      <w:pPr>
        <w:pStyle w:val="0"/>
        <w:tabs>
          <w:tab w:val="left" w:leader="none" w:pos="5400"/>
        </w:tabs>
        <w:ind w:left="690" w:leftChars="100" w:hanging="480" w:hanging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（４）報奨金の振り込みは、前期は１２月中旬～下旬、後期は５月下旬の予定です。連絡はしませんので、通帳にてご確認ください。通帳の表示は、「ﾂﾔﾏｼ　ｼｹﾞﾝｶｲｼﾕｳ」です。</w:t>
      </w:r>
    </w:p>
    <w:p>
      <w:pPr>
        <w:pStyle w:val="0"/>
        <w:tabs>
          <w:tab w:val="left" w:leader="none" w:pos="5400"/>
        </w:tabs>
        <w:snapToGrid w:val="0"/>
        <w:spacing w:before="164" w:beforeLines="50" w:beforeAutospacing="0" w:after="164" w:afterLines="50" w:afterAutospacing="0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６　書類の提出先</w:t>
      </w:r>
    </w:p>
    <w:p>
      <w:pPr>
        <w:pStyle w:val="0"/>
        <w:spacing w:line="276" w:lineRule="auto"/>
        <w:ind w:left="210" w:leftChars="100" w:firstLine="241" w:firstLineChars="100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〒７０８－８５０１　津山市山北５２０　（本庁舎６Ｆ）</w:t>
      </w:r>
    </w:p>
    <w:p>
      <w:pPr>
        <w:pStyle w:val="0"/>
        <w:spacing w:line="276" w:lineRule="auto"/>
        <w:ind w:left="210" w:leftChars="100" w:firstLine="241" w:firstLineChars="10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津山市環境福祉部環境事業課３Ｒ推進係</w:t>
      </w:r>
    </w:p>
    <w:p>
      <w:pPr>
        <w:pStyle w:val="0"/>
        <w:spacing w:line="276" w:lineRule="auto"/>
        <w:ind w:left="210" w:leftChars="100" w:firstLine="241" w:firstLineChars="10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ＴＥＬ：０８６８－３２－２２０３　ＦＡＸ：０８６８－２３－７０５５</w:t>
      </w:r>
    </w:p>
    <w:p>
      <w:pPr>
        <w:pStyle w:val="0"/>
        <w:spacing w:line="276" w:lineRule="auto"/>
        <w:ind w:left="210" w:leftChars="100" w:firstLine="241" w:firstLineChars="100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ind w:left="210" w:leftChars="100"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提出方法は郵送でも持参でもかまいません。</w:t>
      </w:r>
    </w:p>
    <w:p>
      <w:pPr>
        <w:pStyle w:val="0"/>
        <w:ind w:left="210" w:leftChars="100"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郵送される場合は、</w:t>
      </w:r>
      <w:r>
        <w:rPr>
          <w:rFonts w:hint="eastAsia" w:ascii="HG丸ｺﾞｼｯｸM-PRO" w:hAnsi="HG丸ｺﾞｼｯｸM-PRO" w:eastAsia="HG丸ｺﾞｼｯｸM-PRO"/>
          <w:b w:val="1"/>
          <w:sz w:val="24"/>
          <w:u w:val="double" w:color="auto"/>
        </w:rPr>
        <w:t>昼間でも連絡の取れる電話番号</w:t>
      </w:r>
      <w:r>
        <w:rPr>
          <w:rFonts w:hint="eastAsia" w:ascii="HG丸ｺﾞｼｯｸM-PRO" w:hAnsi="HG丸ｺﾞｼｯｸM-PRO" w:eastAsia="HG丸ｺﾞｼｯｸM-PRO"/>
          <w:sz w:val="24"/>
        </w:rPr>
        <w:t>を記入して郵送してください。</w:t>
      </w:r>
    </w:p>
    <w:sectPr>
      <w:pgSz w:w="11907" w:h="16840"/>
      <w:pgMar w:top="1701" w:right="1701" w:bottom="1418" w:left="1701" w:header="851" w:footer="992" w:gutter="0"/>
      <w:cols w:space="720"/>
      <w:textDirection w:val="lrTb"/>
      <w:docGrid w:type="line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8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b w:val="1"/>
      <w:sz w:val="24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2</Pages>
  <Words>6</Words>
  <Characters>1496</Characters>
  <Application>JUST Note</Application>
  <Lines>203</Lines>
  <Paragraphs>93</Paragraphs>
  <Company>津山市役所</Company>
  <CharactersWithSpaces>1534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《各団体保管用》</dc:title>
  <dc:creator>Satosi Inagaki</dc:creator>
  <cp:lastModifiedBy>user</cp:lastModifiedBy>
  <cp:lastPrinted>2018-06-11T07:43:40Z</cp:lastPrinted>
  <dcterms:created xsi:type="dcterms:W3CDTF">2016-01-05T05:52:00Z</dcterms:created>
  <dcterms:modified xsi:type="dcterms:W3CDTF">2018-06-11T07:43:46Z</dcterms:modified>
  <cp:revision>18</cp:revision>
</cp:coreProperties>
</file>