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2.xml" ContentType="application/vnd.openxmlformats-officedocument.drawingml.chartshapes+xml"/>
  <Override PartName="/word/charts/colors1.xml" ContentType="application/vnd.ms-office.chartcolorstyle+xml"/>
  <Override PartName="/word/charts/style1.xml" ContentType="application/vnd.ms-office.chartstyle+xml"/>
  <Override PartName="/word/charts/chart2.xml" ContentType="application/vnd.openxmlformats-officedocument.drawingml.chart+xml"/>
  <Override PartName="/word/charts/colors2.xml" ContentType="application/vnd.ms-office.chartcolorstyle+xml"/>
  <Override PartName="/word/charts/style2.xml" ContentType="application/vnd.ms-office.chartstyle+xml"/>
  <Override PartName="/word/charts/chart3.xml" ContentType="application/vnd.openxmlformats-officedocument.drawingml.chart+xml"/>
  <Override PartName="/word/embeddings/oleObject1.bin" ContentType="application/vnd.openxmlformats-officedocument.oleObject"/>
  <Override PartName="/word/drawings/drawing1.xml" ContentType="application/vnd.openxmlformats-officedocument.drawingml.chartshapes+xml"/>
  <Override PartName="/word/theme/themeOverride1.xml" ContentType="application/vnd.openxmlformats-officedocument.themeOverride+xml"/>
  <Override PartName="/word/embeddings/oleObject1.xlsx" ContentType="application/vnd.openxmlformats-officedocument.spreadsheetml.sheet"/>
  <Override PartName="/word/embeddings/oleObject2.xlsx" ContentType="application/vnd.openxmlformats-officedocument.spreadsheetml.sheet"/>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center"/>
        <w:rPr>
          <w:rFonts w:hint="default" w:ascii="HG丸ｺﾞｼｯｸM-PRO" w:hAnsi="HG丸ｺﾞｼｯｸM-PRO" w:eastAsia="HG丸ｺﾞｼｯｸM-PRO"/>
          <w:b w:val="1"/>
          <w:sz w:val="32"/>
        </w:rPr>
      </w:pPr>
    </w:p>
    <w:p>
      <w:pPr>
        <w:pStyle w:val="0"/>
        <w:jc w:val="center"/>
        <w:rPr>
          <w:rFonts w:hint="default" w:ascii="HG丸ｺﾞｼｯｸM-PRO" w:hAnsi="HG丸ｺﾞｼｯｸM-PRO" w:eastAsia="HG丸ｺﾞｼｯｸM-PRO"/>
          <w:b w:val="1"/>
          <w:sz w:val="32"/>
        </w:rPr>
      </w:pPr>
    </w:p>
    <w:p>
      <w:pPr>
        <w:pStyle w:val="0"/>
        <w:jc w:val="center"/>
        <w:rPr>
          <w:rFonts w:hint="default" w:ascii="HG丸ｺﾞｼｯｸM-PRO" w:hAnsi="HG丸ｺﾞｼｯｸM-PRO" w:eastAsia="HG丸ｺﾞｼｯｸM-PRO"/>
          <w:b w:val="1"/>
          <w:sz w:val="92"/>
        </w:rPr>
      </w:pPr>
      <w:r>
        <w:rPr>
          <w:rFonts w:hint="eastAsia" w:ascii="HG丸ｺﾞｼｯｸM-PRO" w:hAnsi="HG丸ｺﾞｼｯｸM-PRO" w:eastAsia="HG丸ｺﾞｼｯｸM-PRO"/>
          <w:b w:val="1"/>
          <w:sz w:val="92"/>
        </w:rPr>
        <w:t>津山市の環境報告書</w:t>
      </w:r>
    </w:p>
    <w:p>
      <w:pPr>
        <w:pStyle w:val="0"/>
        <w:jc w:val="center"/>
        <w:rPr>
          <w:rFonts w:hint="default" w:ascii="HG丸ｺﾞｼｯｸM-PRO" w:hAnsi="HG丸ｺﾞｼｯｸM-PRO" w:eastAsia="HG丸ｺﾞｼｯｸM-PRO"/>
          <w:b w:val="1"/>
          <w:sz w:val="40"/>
        </w:rPr>
      </w:pPr>
      <w:r>
        <w:rPr>
          <w:rFonts w:hint="eastAsia" w:ascii="HG丸ｺﾞｼｯｸM-PRO" w:hAnsi="HG丸ｺﾞｼｯｸM-PRO" w:eastAsia="HG丸ｺﾞｼｯｸM-PRO"/>
          <w:b w:val="1"/>
          <w:sz w:val="40"/>
        </w:rPr>
        <w:t>令和</w:t>
      </w:r>
      <w:r>
        <w:rPr>
          <w:rFonts w:hint="eastAsia" w:ascii="HG丸ｺﾞｼｯｸM-PRO" w:hAnsi="HG丸ｺﾞｼｯｸM-PRO" w:eastAsia="HG丸ｺﾞｼｯｸM-PRO"/>
          <w:b w:val="1"/>
          <w:sz w:val="40"/>
          <w:highlight w:val="none"/>
        </w:rPr>
        <w:t>２</w:t>
      </w:r>
      <w:r>
        <w:rPr>
          <w:rFonts w:hint="eastAsia" w:ascii="HG丸ｺﾞｼｯｸM-PRO" w:hAnsi="HG丸ｺﾞｼｯｸM-PRO" w:eastAsia="HG丸ｺﾞｼｯｸM-PRO"/>
          <w:b w:val="1"/>
          <w:sz w:val="40"/>
        </w:rPr>
        <w:t>年度版</w:t>
      </w:r>
    </w:p>
    <w:p>
      <w:pPr>
        <w:pStyle w:val="0"/>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highlight w:val="none"/>
        </w:rPr>
        <w:t>令和元</w:t>
      </w:r>
      <w:r>
        <w:rPr>
          <w:rFonts w:hint="eastAsia" w:ascii="HG丸ｺﾞｼｯｸM-PRO" w:hAnsi="HG丸ｺﾞｼｯｸM-PRO" w:eastAsia="HG丸ｺﾞｼｯｸM-PRO"/>
          <w:b w:val="1"/>
          <w:sz w:val="24"/>
        </w:rPr>
        <w:t>年度実績報告）</w:t>
      </w:r>
    </w:p>
    <w:p>
      <w:pPr>
        <w:pStyle w:val="0"/>
        <w:jc w:val="center"/>
        <w:rPr>
          <w:rFonts w:hint="default" w:ascii="HG丸ｺﾞｼｯｸM-PRO" w:hAnsi="HG丸ｺﾞｼｯｸM-PRO" w:eastAsia="HG丸ｺﾞｼｯｸM-PRO"/>
          <w:b w:val="1"/>
          <w:sz w:val="40"/>
        </w:rPr>
      </w:pPr>
    </w:p>
    <w:p>
      <w:pPr>
        <w:pStyle w:val="0"/>
        <w:jc w:val="center"/>
        <w:rPr>
          <w:rFonts w:hint="default" w:ascii="HG丸ｺﾞｼｯｸM-PRO" w:hAnsi="HG丸ｺﾞｼｯｸM-PRO" w:eastAsia="HG丸ｺﾞｼｯｸM-PRO"/>
          <w:b w:val="1"/>
          <w:sz w:val="40"/>
        </w:rPr>
      </w:pPr>
    </w:p>
    <w:p>
      <w:pPr>
        <w:pStyle w:val="0"/>
        <w:jc w:val="center"/>
        <w:rPr>
          <w:rFonts w:hint="default" w:ascii="HG丸ｺﾞｼｯｸM-PRO" w:hAnsi="HG丸ｺﾞｼｯｸM-PRO" w:eastAsia="HG丸ｺﾞｼｯｸM-PRO"/>
          <w:b w:val="1"/>
          <w:sz w:val="40"/>
        </w:rPr>
      </w:pPr>
    </w:p>
    <w:p>
      <w:pPr>
        <w:pStyle w:val="0"/>
        <w:jc w:val="center"/>
        <w:rPr>
          <w:rFonts w:hint="default" w:ascii="HG丸ｺﾞｼｯｸM-PRO" w:hAnsi="HG丸ｺﾞｼｯｸM-PRO" w:eastAsia="HG丸ｺﾞｼｯｸM-PRO"/>
          <w:b w:val="1"/>
          <w:sz w:val="40"/>
        </w:rPr>
      </w:pPr>
      <w:r>
        <w:rPr>
          <w:rFonts w:hint="eastAsia" w:ascii="HG丸ｺﾞｼｯｸM-PRO" w:hAnsi="HG丸ｺﾞｼｯｸM-PRO" w:eastAsia="HG丸ｺﾞｼｯｸM-PRO"/>
          <w:b w:val="1"/>
          <w:sz w:val="40"/>
        </w:rPr>
        <w:drawing>
          <wp:inline distT="0" distB="0" distL="0" distR="0">
            <wp:extent cx="5753100" cy="1971675"/>
            <wp:effectExtent l="0" t="0" r="0" b="0"/>
            <wp:docPr id="1026" name="Picture 1" descr="yokoichiretu"/>
            <a:graphic xmlns:a="http://schemas.openxmlformats.org/drawingml/2006/main">
              <a:graphicData uri="http://schemas.openxmlformats.org/drawingml/2006/picture">
                <pic:pic xmlns:pic="http://schemas.openxmlformats.org/drawingml/2006/picture">
                  <pic:nvPicPr>
                    <pic:cNvPr id="1026" name="Picture 1" descr="yokoichiretu"/>
                    <pic:cNvPicPr>
                      <a:picLocks noChangeAspect="1" noChangeArrowheads="1"/>
                    </pic:cNvPicPr>
                  </pic:nvPicPr>
                  <pic:blipFill>
                    <a:blip r:embed="rId9"/>
                    <a:stretch>
                      <a:fillRect/>
                    </a:stretch>
                  </pic:blipFill>
                  <pic:spPr>
                    <a:xfrm>
                      <a:off x="0" y="0"/>
                      <a:ext cx="5753100" cy="1971675"/>
                    </a:xfrm>
                    <a:prstGeom prst="rect">
                      <a:avLst/>
                    </a:prstGeom>
                    <a:noFill/>
                    <a:ln>
                      <a:noFill/>
                    </a:ln>
                  </pic:spPr>
                </pic:pic>
              </a:graphicData>
            </a:graphic>
          </wp:inline>
        </w:drawing>
      </w:r>
    </w:p>
    <w:p>
      <w:pPr>
        <w:pStyle w:val="0"/>
        <w:jc w:val="center"/>
        <w:rPr>
          <w:rFonts w:hint="default" w:ascii="HG丸ｺﾞｼｯｸM-PRO" w:hAnsi="HG丸ｺﾞｼｯｸM-PRO" w:eastAsia="HG丸ｺﾞｼｯｸM-PRO"/>
          <w:b w:val="1"/>
          <w:sz w:val="40"/>
        </w:rPr>
      </w:pPr>
    </w:p>
    <w:p>
      <w:pPr>
        <w:pStyle w:val="0"/>
        <w:jc w:val="center"/>
        <w:rPr>
          <w:rFonts w:hint="default" w:ascii="HG丸ｺﾞｼｯｸM-PRO" w:hAnsi="HG丸ｺﾞｼｯｸM-PRO" w:eastAsia="HG丸ｺﾞｼｯｸM-PRO"/>
          <w:b w:val="1"/>
          <w:sz w:val="40"/>
        </w:rPr>
      </w:pPr>
      <w:r>
        <w:rPr>
          <w:rFonts w:hint="eastAsia" w:ascii="HG丸ｺﾞｼｯｸM-PRO" w:hAnsi="HG丸ｺﾞｼｯｸM-PRO" w:eastAsia="HG丸ｺﾞｼｯｸM-PRO"/>
          <w:b w:val="1"/>
          <w:sz w:val="40"/>
        </w:rPr>
        <w:t>津　山　市</w:t>
      </w:r>
    </w:p>
    <w:p>
      <w:pPr>
        <w:pStyle w:val="0"/>
        <w:rPr>
          <w:rFonts w:hint="default" w:ascii="HG丸ｺﾞｼｯｸM-PRO" w:hAnsi="HG丸ｺﾞｼｯｸM-PRO" w:eastAsia="HG丸ｺﾞｼｯｸM-PRO"/>
          <w:b w:val="1"/>
          <w:sz w:val="28"/>
        </w:rPr>
      </w:pPr>
    </w:p>
    <w:p>
      <w:pPr>
        <w:pStyle w:val="0"/>
        <w:widowControl w:val="1"/>
        <w:jc w:val="left"/>
        <w:rPr>
          <w:rFonts w:hint="default" w:ascii="HG丸ｺﾞｼｯｸM-PRO" w:hAnsi="HG丸ｺﾞｼｯｸM-PRO" w:eastAsia="HG丸ｺﾞｼｯｸM-PRO"/>
          <w:sz w:val="32"/>
        </w:rPr>
      </w:pPr>
      <w:r>
        <w:rPr>
          <w:rFonts w:hint="default" w:ascii="HG丸ｺﾞｼｯｸM-PRO" w:hAnsi="HG丸ｺﾞｼｯｸM-PRO" w:eastAsia="HG丸ｺﾞｼｯｸM-PRO"/>
          <w:sz w:val="22"/>
        </w:rPr>
        <mc:AlternateContent>
          <mc:Choice Requires="wps">
            <w:drawing>
              <wp:anchor distT="0" distB="0" distL="114300" distR="114300" simplePos="0" relativeHeight="13" behindDoc="0" locked="0" layoutInCell="1" hidden="0" allowOverlap="1">
                <wp:simplePos x="0" y="0"/>
                <wp:positionH relativeFrom="column">
                  <wp:posOffset>1811020</wp:posOffset>
                </wp:positionH>
                <wp:positionV relativeFrom="paragraph">
                  <wp:posOffset>1558290</wp:posOffset>
                </wp:positionV>
                <wp:extent cx="2303780" cy="1804035"/>
                <wp:effectExtent l="0" t="0" r="635" b="635"/>
                <wp:wrapNone/>
                <wp:docPr id="1027" name="テキスト ボックス 2"/>
                <a:graphic xmlns:a="http://schemas.openxmlformats.org/drawingml/2006/main">
                  <a:graphicData uri="http://schemas.microsoft.com/office/word/2010/wordprocessingShape">
                    <wps:wsp>
                      <wps:cNvPr id="1027" name="テキスト ボックス 2"/>
                      <wps:cNvSpPr txBox="1">
                        <a:spLocks noChangeArrowheads="1"/>
                      </wps:cNvSpPr>
                      <wps:spPr>
                        <a:xfrm>
                          <a:off x="0" y="0"/>
                          <a:ext cx="2303780" cy="1804035"/>
                        </a:xfrm>
                        <a:prstGeom prst="rect">
                          <a:avLst/>
                        </a:prstGeom>
                        <a:solidFill>
                          <a:srgbClr val="FFFFFF"/>
                        </a:solidFill>
                        <a:ln w="9525">
                          <a:noFill/>
                          <a:miter lim="800000"/>
                          <a:headEnd/>
                          <a:tailEnd/>
                        </a:ln>
                      </wps:spPr>
                      <wps:txbx>
                        <w:txbxContent>
                          <w:p>
                            <w:pPr>
                              <w:pStyle w:val="0"/>
                              <w:rPr>
                                <w:rFonts w:hint="default"/>
                              </w:rPr>
                            </w:pPr>
                          </w:p>
                        </w:txbxContent>
                      </wps:txbx>
                      <wps:bodyPr rot="0" vertOverflow="overflow" horzOverflow="overflow"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22.7pt;mso-position-vertical-relative:text;mso-position-horizontal-relative:text;v-text-anchor:top;position:absolute;height:142.05000000000001pt;mso-wrap-distance-top:0pt;width:181.4pt;mso-wrap-distance-left:9pt;margin-left:142.6pt;z-index:13;" o:spid="_x0000_s1027" o:allowincell="t" o:allowoverlap="t" filled="t" fillcolor="#ffffff" stroked="f" strokeweight="0.75pt" o:spt="202" type="#_x0000_t202">
                <v:fill/>
                <v:stroke miterlimit="8"/>
                <v:textbox style="layout-flow:horizontal;mso-fit-shape-to-text:t;">
                  <w:txbxContent>
                    <w:p>
                      <w:pPr>
                        <w:pStyle w:val="0"/>
                        <w:rPr>
                          <w:rFonts w:hint="default"/>
                        </w:rPr>
                      </w:pPr>
                    </w:p>
                  </w:txbxContent>
                </v:textbox>
                <v:imagedata o:title=""/>
                <w10:wrap type="none" anchorx="text" anchory="text"/>
              </v:shape>
            </w:pict>
          </mc:Fallback>
        </mc:AlternateContent>
      </w:r>
      <w:r>
        <w:rPr>
          <w:rFonts w:hint="default" w:ascii="HG丸ｺﾞｼｯｸM-PRO" w:hAnsi="HG丸ｺﾞｼｯｸM-PRO" w:eastAsia="HG丸ｺﾞｼｯｸM-PRO"/>
          <w:sz w:val="32"/>
        </w:rPr>
        <w:br w:type="page"/>
      </w:r>
    </w:p>
    <w:p>
      <w:pPr>
        <w:rPr>
          <w:rFonts w:hint="default" w:ascii="HG丸ｺﾞｼｯｸM-PRO" w:hAnsi="HG丸ｺﾞｼｯｸM-PRO" w:eastAsia="HG丸ｺﾞｼｯｸM-PRO"/>
          <w:b w:val="1"/>
          <w:sz w:val="32"/>
        </w:rPr>
        <w:sectPr>
          <w:headerReference r:id="rId6" w:type="default"/>
          <w:footerReference r:id="rId8" w:type="default"/>
          <w:footerReference r:id="rId7" w:type="first"/>
          <w:pgSz w:w="11906" w:h="16838"/>
          <w:pgMar w:top="1134" w:right="1418" w:bottom="1134" w:left="1418" w:header="851" w:footer="992" w:gutter="0"/>
          <w:pgNumType w:fmt="numberInDash" w:start="0"/>
          <w:cols w:space="720"/>
          <w:titlePg w:val="1"/>
          <w:textDirection w:val="lrTb"/>
          <w:docGrid w:type="lines" w:linePitch="360"/>
        </w:sectPr>
      </w:pPr>
    </w:p>
    <w:p>
      <w:pPr>
        <w:pStyle w:val="0"/>
        <w:jc w:val="center"/>
        <w:rPr>
          <w:rFonts w:hint="default" w:ascii="HG丸ｺﾞｼｯｸM-PRO" w:hAnsi="HG丸ｺﾞｼｯｸM-PRO" w:eastAsia="HG丸ｺﾞｼｯｸM-PRO"/>
          <w:b w:val="1"/>
          <w:sz w:val="32"/>
        </w:rPr>
      </w:pPr>
    </w:p>
    <w:p>
      <w:pPr>
        <w:pStyle w:val="0"/>
        <w:jc w:val="center"/>
        <w:rPr>
          <w:rFonts w:hint="default" w:ascii="HG丸ｺﾞｼｯｸM-PRO" w:hAnsi="HG丸ｺﾞｼｯｸM-PRO" w:eastAsia="HG丸ｺﾞｼｯｸM-PRO"/>
          <w:b w:val="1"/>
          <w:sz w:val="32"/>
        </w:rPr>
      </w:pPr>
      <w:r>
        <w:rPr>
          <w:rFonts w:hint="eastAsia" w:ascii="HG丸ｺﾞｼｯｸM-PRO" w:hAnsi="HG丸ｺﾞｼｯｸM-PRO" w:eastAsia="HG丸ｺﾞｼｯｸM-PRO"/>
          <w:b w:val="1"/>
          <w:sz w:val="32"/>
        </w:rPr>
        <w:t>津山市の環境報告書もくじ</w:t>
      </w:r>
    </w:p>
    <w:p>
      <w:pPr>
        <w:pStyle w:val="0"/>
        <w:rPr>
          <w:rFonts w:hint="default" w:ascii="HG丸ｺﾞｼｯｸM-PRO" w:hAnsi="HG丸ｺﾞｼｯｸM-PRO" w:eastAsia="HG丸ｺﾞｼｯｸM-PRO"/>
          <w:sz w:val="28"/>
        </w:rPr>
      </w:pPr>
    </w:p>
    <w:p>
      <w:pPr>
        <w:pStyle w:val="0"/>
        <w:rPr>
          <w:rFonts w:hint="default" w:ascii="HG丸ｺﾞｼｯｸM-PRO" w:hAnsi="HG丸ｺﾞｼｯｸM-PRO" w:eastAsia="HG丸ｺﾞｼｯｸM-PRO"/>
          <w:sz w:val="28"/>
        </w:rPr>
      </w:pPr>
    </w:p>
    <w:p>
      <w:pPr>
        <w:pStyle w:val="0"/>
        <w:rPr>
          <w:rFonts w:hint="default" w:ascii="HG丸ｺﾞｼｯｸM-PRO" w:hAnsi="HG丸ｺﾞｼｯｸM-PRO" w:eastAsia="HG丸ｺﾞｼｯｸM-PRO"/>
          <w:b w:val="1"/>
          <w:sz w:val="28"/>
        </w:rPr>
      </w:pPr>
      <w:r>
        <w:rPr>
          <w:rFonts w:hint="eastAsia" w:ascii="HG丸ｺﾞｼｯｸM-PRO" w:hAnsi="HG丸ｺﾞｼｯｸM-PRO" w:eastAsia="HG丸ｺﾞｼｯｸM-PRO"/>
          <w:b w:val="1"/>
          <w:sz w:val="28"/>
        </w:rPr>
        <w:t>第</w:t>
      </w:r>
      <w:r>
        <w:rPr>
          <w:rFonts w:hint="eastAsia" w:ascii="HG丸ｺﾞｼｯｸM-PRO" w:hAnsi="HG丸ｺﾞｼｯｸM-PRO" w:eastAsia="HG丸ｺﾞｼｯｸM-PRO"/>
          <w:b w:val="1"/>
          <w:sz w:val="28"/>
        </w:rPr>
        <w:t>1</w:t>
      </w:r>
      <w:r>
        <w:rPr>
          <w:rFonts w:hint="eastAsia" w:ascii="HG丸ｺﾞｼｯｸM-PRO" w:hAnsi="HG丸ｺﾞｼｯｸM-PRO" w:eastAsia="HG丸ｺﾞｼｯｸM-PRO"/>
          <w:b w:val="1"/>
          <w:sz w:val="28"/>
        </w:rPr>
        <w:t>章　津山市環境報告書について・・・・・・・・・・・・・・・</w:t>
      </w:r>
      <w:r>
        <w:rPr>
          <w:rFonts w:hint="eastAsia" w:ascii="HG丸ｺﾞｼｯｸM-PRO" w:hAnsi="HG丸ｺﾞｼｯｸM-PRO" w:eastAsia="HG丸ｺﾞｼｯｸM-PRO"/>
          <w:b w:val="1"/>
          <w:sz w:val="28"/>
        </w:rPr>
        <w:t>1</w:t>
      </w:r>
    </w:p>
    <w:p>
      <w:pPr>
        <w:pStyle w:val="0"/>
        <w:rPr>
          <w:rFonts w:hint="default" w:ascii="HG丸ｺﾞｼｯｸM-PRO" w:hAnsi="HG丸ｺﾞｼｯｸM-PRO" w:eastAsia="HG丸ｺﾞｼｯｸM-PRO"/>
          <w:b w:val="1"/>
          <w:sz w:val="28"/>
        </w:rPr>
      </w:pPr>
      <w:r>
        <w:rPr>
          <w:rFonts w:hint="eastAsia" w:ascii="HG丸ｺﾞｼｯｸM-PRO" w:hAnsi="HG丸ｺﾞｼｯｸM-PRO" w:eastAsia="HG丸ｺﾞｼｯｸM-PRO"/>
          <w:b w:val="1"/>
          <w:color w:val="FF0000"/>
          <w:sz w:val="28"/>
        </w:rPr>
        <w:t>　　　</w:t>
      </w:r>
      <w:r>
        <w:rPr>
          <w:rFonts w:hint="eastAsia" w:ascii="HG丸ｺﾞｼｯｸM-PRO" w:hAnsi="HG丸ｺﾞｼｯｸM-PRO" w:eastAsia="HG丸ｺﾞｼｯｸM-PRO"/>
          <w:b w:val="1"/>
          <w:sz w:val="28"/>
        </w:rPr>
        <w:t>　　　</w:t>
      </w:r>
    </w:p>
    <w:p>
      <w:pPr>
        <w:pStyle w:val="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8"/>
        </w:rPr>
        <w:t>第</w:t>
      </w:r>
      <w:r>
        <w:rPr>
          <w:rFonts w:hint="eastAsia" w:ascii="HG丸ｺﾞｼｯｸM-PRO" w:hAnsi="HG丸ｺﾞｼｯｸM-PRO" w:eastAsia="HG丸ｺﾞｼｯｸM-PRO"/>
          <w:b w:val="1"/>
          <w:sz w:val="28"/>
        </w:rPr>
        <w:t>2</w:t>
      </w:r>
      <w:r>
        <w:rPr>
          <w:rFonts w:hint="eastAsia" w:ascii="HG丸ｺﾞｼｯｸM-PRO" w:hAnsi="HG丸ｺﾞｼｯｸM-PRO" w:eastAsia="HG丸ｺﾞｼｯｸM-PRO"/>
          <w:b w:val="1"/>
          <w:sz w:val="28"/>
        </w:rPr>
        <w:t>章　津山市の地域概要・・・・・・・・・・・・・・・・・・・２</w:t>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8"/>
        </w:rPr>
        <w:t>　　　　</w:t>
      </w:r>
    </w:p>
    <w:p>
      <w:pPr>
        <w:pStyle w:val="0"/>
        <w:ind w:firstLine="5723" w:firstLineChars="2036"/>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8"/>
        </w:rPr>
        <w:t>　　　</w:t>
      </w:r>
    </w:p>
    <w:p>
      <w:pPr>
        <w:pStyle w:val="0"/>
        <w:rPr>
          <w:rFonts w:hint="default" w:ascii="Century" w:hAnsi="Century" w:eastAsia="ＭＳ 明朝"/>
        </w:rPr>
      </w:pPr>
      <w:r>
        <w:rPr>
          <w:rFonts w:hint="eastAsia" w:ascii="HG丸ｺﾞｼｯｸM-PRO" w:hAnsi="HG丸ｺﾞｼｯｸM-PRO" w:eastAsia="HG丸ｺﾞｼｯｸM-PRO"/>
          <w:b w:val="1"/>
          <w:sz w:val="28"/>
        </w:rPr>
        <w:t>第</w:t>
      </w:r>
      <w:r>
        <w:rPr>
          <w:rFonts w:hint="eastAsia" w:ascii="HG丸ｺﾞｼｯｸM-PRO" w:hAnsi="HG丸ｺﾞｼｯｸM-PRO" w:eastAsia="HG丸ｺﾞｼｯｸM-PRO"/>
          <w:b w:val="1"/>
          <w:sz w:val="28"/>
        </w:rPr>
        <w:t>3</w:t>
      </w:r>
      <w:r>
        <w:rPr>
          <w:rFonts w:hint="eastAsia" w:ascii="HG丸ｺﾞｼｯｸM-PRO" w:hAnsi="HG丸ｺﾞｼｯｸM-PRO" w:eastAsia="HG丸ｺﾞｼｯｸM-PRO"/>
          <w:b w:val="1"/>
          <w:sz w:val="28"/>
        </w:rPr>
        <w:t>章　温室効果ガス排出量の現況・・・・・・・・・・・・・・・７</w:t>
      </w:r>
    </w:p>
    <w:p>
      <w:pPr>
        <w:pStyle w:val="0"/>
        <w:rPr>
          <w:rFonts w:hint="default" w:ascii="Century" w:hAnsi="Century" w:eastAsia="ＭＳ 明朝"/>
        </w:rPr>
      </w:pPr>
      <w:r>
        <w:rPr>
          <w:rFonts w:hint="default" w:ascii="HG丸ｺﾞｼｯｸM-PRO" w:hAnsi="HG丸ｺﾞｼｯｸM-PRO" w:eastAsia="HG丸ｺﾞｼｯｸM-PRO"/>
          <w:sz w:val="22"/>
        </w:rPr>
        <mc:AlternateContent>
          <mc:Choice Requires="wps">
            <w:drawing>
              <wp:anchor distT="0" distB="0" distL="114300" distR="114300" simplePos="0" relativeHeight="14" behindDoc="0" locked="0" layoutInCell="1" hidden="0" allowOverlap="1">
                <wp:simplePos x="0" y="0"/>
                <wp:positionH relativeFrom="column">
                  <wp:posOffset>1963420</wp:posOffset>
                </wp:positionH>
                <wp:positionV relativeFrom="paragraph">
                  <wp:posOffset>4911090</wp:posOffset>
                </wp:positionV>
                <wp:extent cx="2303780" cy="1804035"/>
                <wp:effectExtent l="0" t="0" r="635" b="635"/>
                <wp:wrapNone/>
                <wp:docPr id="1028" name="テキスト ボックス 2"/>
                <a:graphic xmlns:a="http://schemas.openxmlformats.org/drawingml/2006/main">
                  <a:graphicData uri="http://schemas.microsoft.com/office/word/2010/wordprocessingShape">
                    <wps:wsp>
                      <wps:cNvPr id="1028" name="テキスト ボックス 2"/>
                      <wps:cNvSpPr txBox="1">
                        <a:spLocks noChangeArrowheads="1"/>
                      </wps:cNvSpPr>
                      <wps:spPr>
                        <a:xfrm>
                          <a:off x="0" y="0"/>
                          <a:ext cx="2303780" cy="1804035"/>
                        </a:xfrm>
                        <a:prstGeom prst="rect">
                          <a:avLst/>
                        </a:prstGeom>
                        <a:solidFill>
                          <a:srgbClr val="FFFFFF"/>
                        </a:solidFill>
                        <a:ln w="9525">
                          <a:noFill/>
                          <a:miter lim="800000"/>
                          <a:headEnd/>
                          <a:tailEnd/>
                        </a:ln>
                      </wps:spPr>
                      <wps:txbx>
                        <w:txbxContent>
                          <w:p>
                            <w:pPr>
                              <w:pStyle w:val="0"/>
                              <w:rPr>
                                <w:rFonts w:hint="default"/>
                              </w:rPr>
                            </w:pPr>
                          </w:p>
                        </w:txbxContent>
                      </wps:txbx>
                      <wps:bodyPr rot="0" vertOverflow="overflow" horzOverflow="overflow"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386.7pt;mso-position-vertical-relative:text;mso-position-horizontal-relative:text;v-text-anchor:top;position:absolute;height:142.05000000000001pt;mso-wrap-distance-top:0pt;width:181.4pt;mso-wrap-distance-left:9pt;margin-left:154.6pt;z-index:14;" o:spid="_x0000_s1028" o:allowincell="t" o:allowoverlap="t" filled="t" fillcolor="#ffffff" stroked="f" strokeweight="0.75pt" o:spt="202" type="#_x0000_t202">
                <v:fill/>
                <v:stroke miterlimit="8"/>
                <v:textbox style="layout-flow:horizontal;mso-fit-shape-to-text:t;">
                  <w:txbxContent>
                    <w:p>
                      <w:pPr>
                        <w:pStyle w:val="0"/>
                        <w:rPr>
                          <w:rFonts w:hint="default"/>
                        </w:rPr>
                      </w:pPr>
                    </w:p>
                  </w:txbxContent>
                </v:textbox>
                <v:imagedata o:title=""/>
                <w10:wrap type="none" anchorx="text" anchory="text"/>
              </v:shape>
            </w:pict>
          </mc:Fallback>
        </mc:AlternateContent>
      </w:r>
    </w:p>
    <w:p>
      <w:pPr>
        <w:pStyle w:val="0"/>
        <w:rPr>
          <w:rFonts w:hint="default" w:ascii="Century" w:hAnsi="Century" w:eastAsia="ＭＳ 明朝"/>
        </w:rPr>
      </w:pPr>
    </w:p>
    <w:p>
      <w:pPr>
        <w:pStyle w:val="0"/>
        <w:rPr>
          <w:rFonts w:hint="default" w:ascii="HG丸ｺﾞｼｯｸM-PRO" w:hAnsi="HG丸ｺﾞｼｯｸM-PRO" w:eastAsia="HG丸ｺﾞｼｯｸM-PRO"/>
          <w:b w:val="1"/>
          <w:sz w:val="28"/>
        </w:rPr>
      </w:pPr>
      <w:r>
        <w:rPr>
          <w:rFonts w:hint="eastAsia" w:ascii="HG丸ｺﾞｼｯｸM-PRO" w:hAnsi="HG丸ｺﾞｼｯｸM-PRO" w:eastAsia="HG丸ｺﾞｼｯｸM-PRO"/>
          <w:b w:val="1"/>
          <w:sz w:val="28"/>
        </w:rPr>
        <w:t>第４章　津山市の環境の状況・・・・・・・・・・・・・・・・・１３</w:t>
      </w: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4"/>
        </w:rPr>
      </w:pPr>
    </w:p>
    <w:p>
      <w:pPr>
        <w:pStyle w:val="0"/>
        <w:rPr>
          <w:rFonts w:hint="default" w:ascii="HG丸ｺﾞｼｯｸM-PRO" w:hAnsi="HG丸ｺﾞｼｯｸM-PRO" w:eastAsia="HG丸ｺﾞｼｯｸM-PRO"/>
          <w:b w:val="1"/>
          <w:sz w:val="28"/>
        </w:rPr>
      </w:pPr>
      <w:r>
        <w:rPr>
          <w:rFonts w:hint="eastAsia" w:ascii="HG丸ｺﾞｼｯｸM-PRO" w:hAnsi="HG丸ｺﾞｼｯｸM-PRO" w:eastAsia="HG丸ｺﾞｼｯｸM-PRO"/>
          <w:b w:val="1"/>
          <w:sz w:val="28"/>
        </w:rPr>
        <w:t>第５章　指標と実施状況・・・・・・・・・・・・・・・・・・・３</w:t>
      </w:r>
      <w:r>
        <w:rPr>
          <w:rFonts w:hint="eastAsia" w:ascii="HG丸ｺﾞｼｯｸM-PRO" w:hAnsi="HG丸ｺﾞｼｯｸM-PRO" w:eastAsia="HG丸ｺﾞｼｯｸM-PRO"/>
          <w:b w:val="1"/>
          <w:sz w:val="28"/>
        </w:rPr>
        <w:t>0</w:t>
      </w:r>
    </w:p>
    <w:p>
      <w:pPr>
        <w:pStyle w:val="0"/>
        <w:rPr>
          <w:rFonts w:hint="default" w:ascii="HG丸ｺﾞｼｯｸM-PRO" w:hAnsi="HG丸ｺﾞｼｯｸM-PRO" w:eastAsia="HG丸ｺﾞｼｯｸM-PRO"/>
          <w:b w:val="1"/>
          <w:sz w:val="24"/>
        </w:rPr>
      </w:pPr>
    </w:p>
    <w:p>
      <w:pPr>
        <w:pStyle w:val="0"/>
        <w:widowControl w:val="1"/>
        <w:jc w:val="left"/>
        <w:rPr>
          <w:rFonts w:hint="default" w:ascii="HG丸ｺﾞｼｯｸM-PRO" w:hAnsi="HG丸ｺﾞｼｯｸM-PRO" w:eastAsia="HG丸ｺﾞｼｯｸM-PRO"/>
          <w:sz w:val="32"/>
        </w:rPr>
      </w:pPr>
      <w:r>
        <w:rPr>
          <w:rFonts w:hint="default" w:ascii="HG丸ｺﾞｼｯｸM-PRO" w:hAnsi="HG丸ｺﾞｼｯｸM-PRO" w:eastAsia="HG丸ｺﾞｼｯｸM-PRO"/>
          <w:sz w:val="32"/>
        </w:rPr>
        <w:br w:type="page"/>
      </w:r>
    </w:p>
    <w:p>
      <w:pPr>
        <w:pStyle w:val="1"/>
        <w:ind w:left="0" w:leftChars="0"/>
        <w:rPr>
          <w:rFonts w:hint="default"/>
          <w:color w:val="auto"/>
          <w:sz w:val="32"/>
        </w:rPr>
      </w:pPr>
      <w:r>
        <w:rPr>
          <w:rFonts w:hint="eastAsia"/>
          <w:color w:val="auto"/>
          <w:sz w:val="32"/>
        </w:rPr>
        <w:t>第１章　津山市環境報告書について</w:t>
      </w:r>
    </w:p>
    <w:p>
      <w:pPr>
        <w:pStyle w:val="22"/>
        <w:ind w:firstLine="247" w:firstLineChars="103"/>
        <w:rPr>
          <w:rFonts w:hint="default" w:ascii="HG丸ｺﾞｼｯｸM-PRO" w:hAnsi="HG丸ｺﾞｼｯｸM-PRO" w:eastAsia="HG丸ｺﾞｼｯｸM-PRO"/>
          <w:color w:val="000000"/>
          <w:sz w:val="24"/>
        </w:rPr>
      </w:pPr>
    </w:p>
    <w:p>
      <w:pPr>
        <w:pStyle w:val="22"/>
        <w:ind w:firstLine="247" w:firstLineChars="103"/>
        <w:rPr>
          <w:rFonts w:hint="default" w:ascii="HG丸ｺﾞｼｯｸM-PRO" w:hAnsi="HG丸ｺﾞｼｯｸM-PRO" w:eastAsia="HG丸ｺﾞｼｯｸM-PRO"/>
          <w:color w:val="000000"/>
          <w:sz w:val="24"/>
        </w:rPr>
      </w:pPr>
      <w:r>
        <w:rPr>
          <w:rFonts w:hint="eastAsia" w:ascii="HG丸ｺﾞｼｯｸM-PRO" w:hAnsi="HG丸ｺﾞｼｯｸM-PRO" w:eastAsia="HG丸ｺﾞｼｯｸM-PRO"/>
          <w:color w:val="000000"/>
          <w:sz w:val="24"/>
        </w:rPr>
        <w:t>本報告書は津山市第</w:t>
      </w:r>
      <w:r>
        <w:rPr>
          <w:rFonts w:hint="eastAsia" w:ascii="HG丸ｺﾞｼｯｸM-PRO" w:hAnsi="HG丸ｺﾞｼｯｸM-PRO" w:eastAsia="HG丸ｺﾞｼｯｸM-PRO"/>
          <w:color w:val="000000"/>
          <w:sz w:val="24"/>
        </w:rPr>
        <w:t>2</w:t>
      </w:r>
      <w:r>
        <w:rPr>
          <w:rFonts w:hint="eastAsia" w:ascii="HG丸ｺﾞｼｯｸM-PRO" w:hAnsi="HG丸ｺﾞｼｯｸM-PRO" w:eastAsia="HG丸ｺﾞｼｯｸM-PRO"/>
          <w:color w:val="000000"/>
          <w:sz w:val="24"/>
        </w:rPr>
        <w:t>次環境基本計画及び津山市地球温暖化対策実行計画（区域施策編）に基づき、市域における環境の状況、環境の保全等に関する施策の実施状況等について作成したものです。</w:t>
      </w:r>
    </w:p>
    <w:p>
      <w:pPr>
        <w:pStyle w:val="22"/>
        <w:ind w:firstLine="247" w:firstLineChars="103"/>
        <w:rPr>
          <w:rFonts w:hint="default" w:ascii="HG丸ｺﾞｼｯｸM-PRO" w:hAnsi="HG丸ｺﾞｼｯｸM-PRO" w:eastAsia="HG丸ｺﾞｼｯｸM-PRO"/>
          <w:color w:val="000000"/>
          <w:sz w:val="24"/>
        </w:rPr>
      </w:pPr>
      <w:r>
        <w:rPr>
          <w:rFonts w:hint="eastAsia" w:ascii="HG丸ｺﾞｼｯｸM-PRO" w:hAnsi="HG丸ｺﾞｼｯｸM-PRO" w:eastAsia="HG丸ｺﾞｼｯｸM-PRO"/>
          <w:color w:val="000000"/>
          <w:sz w:val="24"/>
        </w:rPr>
        <w:t>津山市環境基本計画は平成</w:t>
      </w:r>
      <w:r>
        <w:rPr>
          <w:rFonts w:hint="eastAsia" w:ascii="HG丸ｺﾞｼｯｸM-PRO" w:hAnsi="HG丸ｺﾞｼｯｸM-PRO" w:eastAsia="HG丸ｺﾞｼｯｸM-PRO"/>
          <w:color w:val="000000"/>
          <w:sz w:val="24"/>
        </w:rPr>
        <w:t>15</w:t>
      </w:r>
      <w:r>
        <w:rPr>
          <w:rFonts w:hint="eastAsia" w:ascii="HG丸ｺﾞｼｯｸM-PRO" w:hAnsi="HG丸ｺﾞｼｯｸM-PRO" w:eastAsia="HG丸ｺﾞｼｯｸM-PRO"/>
          <w:color w:val="000000"/>
          <w:sz w:val="24"/>
        </w:rPr>
        <w:t>年</w:t>
      </w:r>
      <w:r>
        <w:rPr>
          <w:rFonts w:hint="eastAsia" w:ascii="HG丸ｺﾞｼｯｸM-PRO" w:hAnsi="HG丸ｺﾞｼｯｸM-PRO" w:eastAsia="HG丸ｺﾞｼｯｸM-PRO"/>
          <w:color w:val="000000"/>
          <w:sz w:val="24"/>
        </w:rPr>
        <w:t>3</w:t>
      </w:r>
      <w:r>
        <w:rPr>
          <w:rFonts w:hint="eastAsia" w:ascii="HG丸ｺﾞｼｯｸM-PRO" w:hAnsi="HG丸ｺﾞｼｯｸM-PRO" w:eastAsia="HG丸ｺﾞｼｯｸM-PRO"/>
          <w:color w:val="000000"/>
          <w:sz w:val="24"/>
        </w:rPr>
        <w:t>月に市民との協働により策定されました。その後、平成</w:t>
      </w:r>
      <w:r>
        <w:rPr>
          <w:rFonts w:hint="eastAsia" w:ascii="HG丸ｺﾞｼｯｸM-PRO" w:hAnsi="HG丸ｺﾞｼｯｸM-PRO" w:eastAsia="HG丸ｺﾞｼｯｸM-PRO"/>
          <w:color w:val="000000"/>
          <w:sz w:val="24"/>
        </w:rPr>
        <w:t>28</w:t>
      </w:r>
      <w:r>
        <w:rPr>
          <w:rFonts w:hint="eastAsia" w:ascii="HG丸ｺﾞｼｯｸM-PRO" w:hAnsi="HG丸ｺﾞｼｯｸM-PRO" w:eastAsia="HG丸ｺﾞｼｯｸM-PRO"/>
          <w:color w:val="000000"/>
          <w:sz w:val="24"/>
        </w:rPr>
        <w:t>年</w:t>
      </w:r>
      <w:r>
        <w:rPr>
          <w:rFonts w:hint="eastAsia" w:ascii="HG丸ｺﾞｼｯｸM-PRO" w:hAnsi="HG丸ｺﾞｼｯｸM-PRO" w:eastAsia="HG丸ｺﾞｼｯｸM-PRO"/>
          <w:color w:val="000000"/>
          <w:sz w:val="24"/>
        </w:rPr>
        <w:t>3</w:t>
      </w:r>
      <w:r>
        <w:rPr>
          <w:rFonts w:hint="eastAsia" w:ascii="HG丸ｺﾞｼｯｸM-PRO" w:hAnsi="HG丸ｺﾞｼｯｸM-PRO" w:eastAsia="HG丸ｺﾞｼｯｸM-PRO"/>
          <w:color w:val="000000"/>
          <w:sz w:val="24"/>
        </w:rPr>
        <w:t>月に、</w:t>
      </w:r>
      <w:r>
        <w:rPr>
          <w:rFonts w:hint="eastAsia" w:ascii="HG丸ｺﾞｼｯｸM-PRO" w:hAnsi="HG丸ｺﾞｼｯｸM-PRO" w:eastAsia="HG丸ｺﾞｼｯｸM-PRO"/>
          <w:color w:val="000000"/>
          <w:sz w:val="24"/>
        </w:rPr>
        <w:t>2016</w:t>
      </w:r>
      <w:r>
        <w:rPr>
          <w:rFonts w:hint="eastAsia" w:ascii="HG丸ｺﾞｼｯｸM-PRO" w:hAnsi="HG丸ｺﾞｼｯｸM-PRO" w:eastAsia="HG丸ｺﾞｼｯｸM-PRO"/>
          <w:color w:val="000000"/>
          <w:sz w:val="24"/>
        </w:rPr>
        <w:t>年から</w:t>
      </w:r>
      <w:r>
        <w:rPr>
          <w:rFonts w:hint="eastAsia" w:ascii="HG丸ｺﾞｼｯｸM-PRO" w:hAnsi="HG丸ｺﾞｼｯｸM-PRO" w:eastAsia="HG丸ｺﾞｼｯｸM-PRO"/>
          <w:color w:val="000000"/>
          <w:sz w:val="24"/>
        </w:rPr>
        <w:t>2025</w:t>
      </w:r>
      <w:r>
        <w:rPr>
          <w:rFonts w:hint="eastAsia" w:ascii="HG丸ｺﾞｼｯｸM-PRO" w:hAnsi="HG丸ｺﾞｼｯｸM-PRO" w:eastAsia="HG丸ｺﾞｼｯｸM-PRO"/>
          <w:color w:val="000000"/>
          <w:sz w:val="24"/>
        </w:rPr>
        <w:t>年までの</w:t>
      </w:r>
      <w:r>
        <w:rPr>
          <w:rFonts w:hint="eastAsia" w:ascii="HG丸ｺﾞｼｯｸM-PRO" w:hAnsi="HG丸ｺﾞｼｯｸM-PRO" w:eastAsia="HG丸ｺﾞｼｯｸM-PRO"/>
          <w:color w:val="000000"/>
          <w:sz w:val="24"/>
        </w:rPr>
        <w:t>10</w:t>
      </w:r>
      <w:r>
        <w:rPr>
          <w:rFonts w:hint="eastAsia" w:ascii="HG丸ｺﾞｼｯｸM-PRO" w:hAnsi="HG丸ｺﾞｼｯｸM-PRO" w:eastAsia="HG丸ｺﾞｼｯｸM-PRO"/>
          <w:color w:val="000000"/>
          <w:sz w:val="24"/>
        </w:rPr>
        <w:t>年間の取り組みを示した「津山市第</w:t>
      </w:r>
      <w:r>
        <w:rPr>
          <w:rFonts w:hint="eastAsia" w:ascii="HG丸ｺﾞｼｯｸM-PRO" w:hAnsi="HG丸ｺﾞｼｯｸM-PRO" w:eastAsia="HG丸ｺﾞｼｯｸM-PRO"/>
          <w:color w:val="000000"/>
          <w:sz w:val="24"/>
        </w:rPr>
        <w:t>2</w:t>
      </w:r>
      <w:r>
        <w:rPr>
          <w:rFonts w:hint="eastAsia" w:ascii="HG丸ｺﾞｼｯｸM-PRO" w:hAnsi="HG丸ｺﾞｼｯｸM-PRO" w:eastAsia="HG丸ｺﾞｼｯｸM-PRO"/>
          <w:color w:val="000000"/>
          <w:sz w:val="24"/>
        </w:rPr>
        <w:t>次環境基本計画」を策定しています。</w:t>
      </w:r>
    </w:p>
    <w:p>
      <w:pPr>
        <w:pStyle w:val="22"/>
        <w:ind w:firstLine="247" w:firstLineChars="103"/>
        <w:rPr>
          <w:rFonts w:hint="default" w:ascii="HG丸ｺﾞｼｯｸM-PRO" w:hAnsi="HG丸ｺﾞｼｯｸM-PRO" w:eastAsia="HG丸ｺﾞｼｯｸM-PRO"/>
          <w:color w:val="000000"/>
          <w:sz w:val="24"/>
        </w:rPr>
      </w:pPr>
      <w:r>
        <w:rPr>
          <w:rFonts w:hint="eastAsia" w:ascii="HG丸ｺﾞｼｯｸM-PRO" w:hAnsi="HG丸ｺﾞｼｯｸM-PRO" w:eastAsia="HG丸ｺﾞｼｯｸM-PRO"/>
          <w:color w:val="000000"/>
          <w:sz w:val="24"/>
        </w:rPr>
        <w:t>津山市地球温暖化対策実行計画（区域施策編）は、地球温暖化対策に関する具体的な方針を示す計画として、津山市地球温暖化対策地域推進計画（平成</w:t>
      </w:r>
      <w:r>
        <w:rPr>
          <w:rFonts w:hint="eastAsia" w:ascii="HG丸ｺﾞｼｯｸM-PRO" w:hAnsi="HG丸ｺﾞｼｯｸM-PRO" w:eastAsia="HG丸ｺﾞｼｯｸM-PRO"/>
          <w:color w:val="000000"/>
          <w:sz w:val="24"/>
        </w:rPr>
        <w:t>21</w:t>
      </w:r>
      <w:r>
        <w:rPr>
          <w:rFonts w:hint="eastAsia" w:ascii="HG丸ｺﾞｼｯｸM-PRO" w:hAnsi="HG丸ｺﾞｼｯｸM-PRO" w:eastAsia="HG丸ｺﾞｼｯｸM-PRO"/>
          <w:color w:val="000000"/>
          <w:sz w:val="24"/>
        </w:rPr>
        <w:t>年</w:t>
      </w:r>
      <w:r>
        <w:rPr>
          <w:rFonts w:hint="eastAsia" w:ascii="HG丸ｺﾞｼｯｸM-PRO" w:hAnsi="HG丸ｺﾞｼｯｸM-PRO" w:eastAsia="HG丸ｺﾞｼｯｸM-PRO"/>
          <w:color w:val="000000"/>
          <w:sz w:val="24"/>
        </w:rPr>
        <w:t>3</w:t>
      </w:r>
      <w:r>
        <w:rPr>
          <w:rFonts w:hint="eastAsia" w:ascii="HG丸ｺﾞｼｯｸM-PRO" w:hAnsi="HG丸ｺﾞｼｯｸM-PRO" w:eastAsia="HG丸ｺﾞｼｯｸM-PRO"/>
          <w:color w:val="000000"/>
          <w:sz w:val="24"/>
        </w:rPr>
        <w:t>月）と、津山市地域新エネルギービジョン（平成</w:t>
      </w:r>
      <w:r>
        <w:rPr>
          <w:rFonts w:hint="eastAsia" w:ascii="HG丸ｺﾞｼｯｸM-PRO" w:hAnsi="HG丸ｺﾞｼｯｸM-PRO" w:eastAsia="HG丸ｺﾞｼｯｸM-PRO"/>
          <w:color w:val="000000"/>
          <w:sz w:val="24"/>
        </w:rPr>
        <w:t>22</w:t>
      </w:r>
      <w:r>
        <w:rPr>
          <w:rFonts w:hint="eastAsia" w:ascii="HG丸ｺﾞｼｯｸM-PRO" w:hAnsi="HG丸ｺﾞｼｯｸM-PRO" w:eastAsia="HG丸ｺﾞｼｯｸM-PRO"/>
          <w:color w:val="000000"/>
          <w:sz w:val="24"/>
        </w:rPr>
        <w:t>年</w:t>
      </w:r>
      <w:r>
        <w:rPr>
          <w:rFonts w:hint="eastAsia" w:ascii="HG丸ｺﾞｼｯｸM-PRO" w:hAnsi="HG丸ｺﾞｼｯｸM-PRO" w:eastAsia="HG丸ｺﾞｼｯｸM-PRO"/>
          <w:color w:val="000000"/>
          <w:sz w:val="24"/>
        </w:rPr>
        <w:t>2</w:t>
      </w:r>
      <w:r>
        <w:rPr>
          <w:rFonts w:hint="eastAsia" w:ascii="HG丸ｺﾞｼｯｸM-PRO" w:hAnsi="HG丸ｺﾞｼｯｸM-PRO" w:eastAsia="HG丸ｺﾞｼｯｸM-PRO"/>
          <w:color w:val="000000"/>
          <w:sz w:val="24"/>
        </w:rPr>
        <w:t>月）を統合し、平成</w:t>
      </w:r>
      <w:r>
        <w:rPr>
          <w:rFonts w:hint="eastAsia" w:ascii="HG丸ｺﾞｼｯｸM-PRO" w:hAnsi="HG丸ｺﾞｼｯｸM-PRO" w:eastAsia="HG丸ｺﾞｼｯｸM-PRO"/>
          <w:color w:val="000000"/>
          <w:sz w:val="24"/>
        </w:rPr>
        <w:t>30</w:t>
      </w:r>
      <w:r>
        <w:rPr>
          <w:rFonts w:hint="eastAsia" w:ascii="HG丸ｺﾞｼｯｸM-PRO" w:hAnsi="HG丸ｺﾞｼｯｸM-PRO" w:eastAsia="HG丸ｺﾞｼｯｸM-PRO"/>
          <w:color w:val="000000"/>
          <w:sz w:val="24"/>
        </w:rPr>
        <w:t>年</w:t>
      </w:r>
      <w:r>
        <w:rPr>
          <w:rFonts w:hint="eastAsia" w:ascii="HG丸ｺﾞｼｯｸM-PRO" w:hAnsi="HG丸ｺﾞｼｯｸM-PRO" w:eastAsia="HG丸ｺﾞｼｯｸM-PRO"/>
          <w:color w:val="000000"/>
          <w:sz w:val="24"/>
        </w:rPr>
        <w:t>6</w:t>
      </w:r>
      <w:r>
        <w:rPr>
          <w:rFonts w:hint="eastAsia" w:ascii="HG丸ｺﾞｼｯｸM-PRO" w:hAnsi="HG丸ｺﾞｼｯｸM-PRO" w:eastAsia="HG丸ｺﾞｼｯｸM-PRO"/>
          <w:color w:val="000000"/>
          <w:sz w:val="24"/>
        </w:rPr>
        <w:t>月に策定されました。</w:t>
      </w:r>
    </w:p>
    <w:p>
      <w:pPr>
        <w:pStyle w:val="22"/>
        <w:ind w:firstLine="247" w:firstLineChars="103"/>
        <w:rPr>
          <w:rFonts w:hint="default" w:ascii="HG丸ｺﾞｼｯｸM-PRO" w:hAnsi="HG丸ｺﾞｼｯｸM-PRO" w:eastAsia="HG丸ｺﾞｼｯｸM-PRO"/>
          <w:color w:val="000000"/>
          <w:sz w:val="24"/>
        </w:rPr>
      </w:pPr>
      <w:r>
        <w:rPr>
          <w:rFonts w:hint="eastAsia" w:ascii="HG丸ｺﾞｼｯｸM-PRO" w:hAnsi="HG丸ｺﾞｼｯｸM-PRO" w:eastAsia="HG丸ｺﾞｼｯｸM-PRO"/>
          <w:color w:val="000000"/>
          <w:sz w:val="24"/>
        </w:rPr>
        <w:t>これら計画の示す環境将来像の実現には、市民や事業者、市民団体の皆様のご協力が必要です。引き続き、本市の環境行政にご理解とご協力をお願いします。</w:t>
      </w:r>
    </w:p>
    <w:p>
      <w:pPr>
        <w:pStyle w:val="22"/>
        <w:ind w:firstLine="247" w:firstLineChars="103"/>
        <w:rPr>
          <w:rFonts w:hint="default" w:ascii="HG丸ｺﾞｼｯｸM-PRO" w:hAnsi="HG丸ｺﾞｼｯｸM-PRO" w:eastAsia="HG丸ｺﾞｼｯｸM-PRO"/>
          <w:color w:val="000000"/>
          <w:sz w:val="24"/>
        </w:rPr>
      </w:pPr>
    </w:p>
    <w:p>
      <w:pPr>
        <w:pStyle w:val="0"/>
        <w:rPr>
          <w:rFonts w:hint="default"/>
        </w:rPr>
      </w:pPr>
      <w:r>
        <w:rPr>
          <w:rFonts w:hint="eastAsia"/>
        </w:rPr>
        <w:t>　　　</w:t>
      </w:r>
    </w:p>
    <w:p>
      <w:pPr>
        <w:pStyle w:val="0"/>
        <w:jc w:val="center"/>
        <w:rPr>
          <w:rFonts w:hint="default" w:ascii="HG丸ｺﾞｼｯｸM-PRO" w:hAnsi="HG丸ｺﾞｼｯｸM-PRO" w:eastAsia="HG丸ｺﾞｼｯｸM-PRO"/>
          <w:color w:val="00B0F0"/>
          <w:sz w:val="28"/>
        </w:rPr>
      </w:pPr>
      <w:r>
        <w:rPr>
          <w:rFonts w:hint="eastAsia" w:ascii="HG丸ｺﾞｼｯｸM-PRO" w:hAnsi="HG丸ｺﾞｼｯｸM-PRO" w:eastAsia="HG丸ｺﾞｼｯｸM-PRO"/>
          <w:color w:val="00B0F0"/>
          <w:sz w:val="28"/>
        </w:rPr>
        <w:t>～環境将来像（めざすまちの姿）～</w:t>
      </w:r>
    </w:p>
    <w:p>
      <w:pPr>
        <w:pStyle w:val="0"/>
        <w:ind w:firstLine="210" w:firstLineChars="100"/>
        <w:rPr>
          <w:rFonts w:hint="default"/>
        </w:rPr>
      </w:pPr>
      <w:r>
        <w:rPr>
          <w:rFonts w:hint="default"/>
        </w:rPr>
        <mc:AlternateContent>
          <mc:Choice Requires="wps">
            <w:drawing>
              <wp:anchor distT="0" distB="0" distL="114300" distR="114300" simplePos="0" relativeHeight="11" behindDoc="1" locked="0" layoutInCell="1" hidden="0" allowOverlap="1">
                <wp:simplePos x="0" y="0"/>
                <wp:positionH relativeFrom="margin">
                  <wp:align>center</wp:align>
                </wp:positionH>
                <wp:positionV relativeFrom="paragraph">
                  <wp:posOffset>118110</wp:posOffset>
                </wp:positionV>
                <wp:extent cx="3251200" cy="1085850"/>
                <wp:effectExtent l="635" t="635" r="29845" b="10795"/>
                <wp:wrapNone/>
                <wp:docPr id="1029" name="角丸四角形 1"/>
                <a:graphic xmlns:a="http://schemas.openxmlformats.org/drawingml/2006/main">
                  <a:graphicData uri="http://schemas.microsoft.com/office/word/2010/wordprocessingShape">
                    <wps:wsp>
                      <wps:cNvPr id="1029" name="角丸四角形 1"/>
                      <wps:cNvSpPr/>
                      <wps:spPr>
                        <a:xfrm>
                          <a:off x="0" y="0"/>
                          <a:ext cx="3251200" cy="1085850"/>
                        </a:xfrm>
                        <a:prstGeom prst="roundRect">
                          <a:avLst/>
                        </a:prstGeom>
                        <a:solidFill>
                          <a:schemeClr val="accent1">
                            <a:lumMod val="20000"/>
                            <a:lumOff val="80000"/>
                          </a:schemeClr>
                        </a:solidFill>
                        <a:ln w="22225">
                          <a:solidFill>
                            <a:schemeClr val="accent1"/>
                          </a:solidFill>
                        </a:ln>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角丸四角形 1" style="mso-wrap-distance-right:9pt;mso-wrap-distance-bottom:0pt;margin-top:9.3000000000000007pt;mso-position-vertical-relative:text;mso-position-horizontal:center;mso-position-horizontal-relative:margin;position:absolute;height:85.5pt;mso-wrap-distance-top:0pt;width:256pt;mso-wrap-distance-left:9pt;z-index:-503316469;" o:spid="_x0000_s1029" o:allowincell="t" o:allowoverlap="t" filled="t" fillcolor="#dce6f1 [660]" stroked="t" strokecolor="#4f81bd [3204]" strokeweight="1.75pt" o:spt="2" arcsize="10923f">
                <v:fill/>
                <v:stroke linestyle="single" endcap="flat" dashstyle="solid" filltype="solid"/>
                <v:textbox style="layout-flow:horizontal;"/>
                <v:imagedata o:title=""/>
                <w10:wrap type="none" anchorx="margin" anchory="text"/>
              </v:roundrect>
            </w:pict>
          </mc:Fallback>
        </mc:AlternateContent>
      </w:r>
      <w:r>
        <w:rPr>
          <w:rFonts w:hint="default"/>
        </w:rPr>
        <mc:AlternateContent>
          <mc:Choice Requires="wps">
            <w:drawing>
              <wp:anchor distT="0" distB="0" distL="114300" distR="114300" simplePos="0" relativeHeight="10" behindDoc="0" locked="0" layoutInCell="1" hidden="0" allowOverlap="1">
                <wp:simplePos x="0" y="0"/>
                <wp:positionH relativeFrom="margin">
                  <wp:posOffset>2414905</wp:posOffset>
                </wp:positionH>
                <wp:positionV relativeFrom="paragraph">
                  <wp:posOffset>70485</wp:posOffset>
                </wp:positionV>
                <wp:extent cx="419100" cy="323850"/>
                <wp:effectExtent l="0" t="0" r="635" b="635"/>
                <wp:wrapNone/>
                <wp:docPr id="1030" name="テキスト ボックス 1144"/>
                <a:graphic xmlns:a="http://schemas.openxmlformats.org/drawingml/2006/main">
                  <a:graphicData uri="http://schemas.microsoft.com/office/word/2010/wordprocessingShape">
                    <wps:wsp>
                      <wps:cNvPr id="1030" name="テキスト ボックス 1144"/>
                      <wps:cNvSpPr txBox="1"/>
                      <wps:spPr>
                        <a:xfrm>
                          <a:off x="0" y="0"/>
                          <a:ext cx="4191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0"/>
                              <w:spacing w:line="0" w:lineRule="atLeas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とき</w:t>
                            </w:r>
                          </w:p>
                        </w:txbxContent>
                      </wps:txbx>
                      <wps:bodyPr rot="0" vertOverflow="overflow" horzOverflow="overflow" wrap="square" lIns="36000" rIns="3600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144" style="mso-wrap-distance-right:9pt;mso-wrap-distance-bottom:0pt;margin-top:5.55pt;mso-position-vertical-relative:text;mso-position-horizontal-relative:margin;v-text-anchor:middle;position:absolute;height:25.5pt;mso-wrap-distance-top:0pt;width:33pt;mso-wrap-distance-left:9pt;margin-left:190.15pt;z-index:10;" o:spid="_x0000_s1030" o:allowincell="t" o:allowoverlap="t" filled="f" stroked="f" strokeweight="0.5pt" o:spt="202" type="#_x0000_t202">
                <v:fill/>
                <v:textbox style="layout-flow:horizontal;" inset="0.99999999999999978mm,,0.99999999999999978mm,">
                  <w:txbxContent>
                    <w:p>
                      <w:pPr>
                        <w:pStyle w:val="0"/>
                        <w:spacing w:line="0" w:lineRule="atLeast"/>
                        <w:jc w:val="center"/>
                        <w:rPr>
                          <w:rFonts w:hint="default" w:ascii="HG丸ｺﾞｼｯｸM-PRO" w:hAnsi="HG丸ｺﾞｼｯｸM-PRO" w:eastAsia="HG丸ｺﾞｼｯｸM-PRO"/>
                          <w:sz w:val="16"/>
                        </w:rPr>
                      </w:pPr>
                      <w:r>
                        <w:rPr>
                          <w:rFonts w:hint="eastAsia" w:ascii="HG丸ｺﾞｼｯｸM-PRO" w:hAnsi="HG丸ｺﾞｼｯｸM-PRO" w:eastAsia="HG丸ｺﾞｼｯｸM-PRO"/>
                          <w:sz w:val="16"/>
                        </w:rPr>
                        <w:t>とき</w:t>
                      </w:r>
                    </w:p>
                  </w:txbxContent>
                </v:textbox>
                <v:imagedata o:title=""/>
                <w10:wrap type="none" anchorx="margin" anchory="text"/>
              </v:shape>
            </w:pict>
          </mc:Fallback>
        </mc:AlternateContent>
      </w:r>
    </w:p>
    <w:p>
      <w:pPr>
        <w:pStyle w:val="0"/>
        <w:jc w:val="center"/>
        <w:rPr>
          <w:rFonts w:hint="default" w:ascii="HG丸ｺﾞｼｯｸM-PRO" w:hAnsi="HG丸ｺﾞｼｯｸM-PRO" w:eastAsia="HG丸ｺﾞｼｯｸM-PRO"/>
          <w:b w:val="1"/>
          <w:sz w:val="24"/>
        </w:rPr>
      </w:pPr>
      <w:r>
        <w:rPr>
          <w:rFonts w:hint="default"/>
        </w:rPr>
        <w:drawing>
          <wp:anchor distT="0" distB="0" distL="114300" distR="114300" simplePos="0" relativeHeight="12" behindDoc="0" locked="0" layoutInCell="1" hidden="0" allowOverlap="1">
            <wp:simplePos x="0" y="0"/>
            <wp:positionH relativeFrom="column">
              <wp:posOffset>593090</wp:posOffset>
            </wp:positionH>
            <wp:positionV relativeFrom="paragraph">
              <wp:posOffset>24130</wp:posOffset>
            </wp:positionV>
            <wp:extent cx="861060" cy="838200"/>
            <wp:effectExtent l="174625" t="165100" r="173990" b="165735"/>
            <wp:wrapNone/>
            <wp:docPr id="1031" name="津山市の桜2.png"/>
            <a:graphic xmlns:a="http://schemas.openxmlformats.org/drawingml/2006/main">
              <a:graphicData uri="http://schemas.openxmlformats.org/drawingml/2006/picture">
                <pic:pic xmlns:pic="http://schemas.openxmlformats.org/drawingml/2006/picture">
                  <pic:nvPicPr>
                    <pic:cNvPr id="1031" name="津山市の桜2.png"/>
                    <pic:cNvPicPr/>
                  </pic:nvPicPr>
                  <pic:blipFill>
                    <a:blip r:embed="rId13"/>
                    <a:stretch>
                      <a:fillRect/>
                    </a:stretch>
                  </pic:blipFill>
                  <pic:spPr>
                    <a:xfrm rot="18410869">
                      <a:off x="0" y="0"/>
                      <a:ext cx="861060" cy="838200"/>
                    </a:xfrm>
                    <a:prstGeom prst="rect">
                      <a:avLst/>
                    </a:prstGeom>
                  </pic:spPr>
                </pic:pic>
              </a:graphicData>
            </a:graphic>
          </wp:anchor>
        </w:drawing>
      </w:r>
      <w:r>
        <w:rPr>
          <w:rFonts w:hint="default" w:ascii="HG丸ｺﾞｼｯｸM-PRO" w:hAnsi="HG丸ｺﾞｼｯｸM-PRO" w:eastAsia="HG丸ｺﾞｼｯｸM-PRO"/>
          <w:b w:val="1"/>
          <w:sz w:val="24"/>
        </w:rPr>
        <w:t>刻</w:t>
      </w:r>
      <w:r>
        <w:rPr>
          <w:rFonts w:hint="eastAsia" w:ascii="HG丸ｺﾞｼｯｸM-PRO" w:hAnsi="HG丸ｺﾞｼｯｸM-PRO" w:eastAsia="HG丸ｺﾞｼｯｸM-PRO"/>
          <w:b w:val="1"/>
          <w:sz w:val="24"/>
        </w:rPr>
        <w:t>を積み</w:t>
      </w:r>
    </w:p>
    <w:p>
      <w:pPr>
        <w:pStyle w:val="0"/>
        <w:jc w:val="center"/>
        <w:rPr>
          <w:rFonts w:hint="default" w:ascii="HG丸ｺﾞｼｯｸM-PRO" w:hAnsi="HG丸ｺﾞｼｯｸM-PRO" w:eastAsia="HG丸ｺﾞｼｯｸM-PRO"/>
          <w:b w:val="1"/>
          <w:sz w:val="24"/>
        </w:rPr>
      </w:pPr>
      <w:r>
        <w:rPr>
          <w:rFonts w:hint="eastAsia"/>
        </w:rPr>
        <mc:AlternateContent>
          <mc:Choice Requires="wps">
            <w:drawing>
              <wp:anchor distT="0" distB="0" distL="114300" distR="114300" simplePos="0" relativeHeight="9" behindDoc="1" locked="0" layoutInCell="1" hidden="0" allowOverlap="1">
                <wp:simplePos x="0" y="0"/>
                <wp:positionH relativeFrom="margin">
                  <wp:posOffset>13970</wp:posOffset>
                </wp:positionH>
                <wp:positionV relativeFrom="paragraph">
                  <wp:posOffset>165735</wp:posOffset>
                </wp:positionV>
                <wp:extent cx="5821680" cy="3838575"/>
                <wp:effectExtent l="19685" t="19685" r="29845" b="20320"/>
                <wp:wrapNone/>
                <wp:docPr id="1032" name="正方形/長方形 1129"/>
                <a:graphic xmlns:a="http://schemas.openxmlformats.org/drawingml/2006/main">
                  <a:graphicData uri="http://schemas.microsoft.com/office/word/2010/wordprocessingShape">
                    <wps:wsp>
                      <wps:cNvPr id="1032" name="正方形/長方形 1129"/>
                      <wps:cNvSpPr/>
                      <wps:spPr>
                        <a:xfrm>
                          <a:off x="0" y="0"/>
                          <a:ext cx="5821680" cy="3838575"/>
                        </a:xfrm>
                        <a:prstGeom prst="rect">
                          <a:avLst/>
                        </a:prstGeom>
                        <a:noFill/>
                        <a:ln w="38100" cmpd="dbl">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129" style="mso-wrap-distance-right:9pt;mso-wrap-distance-bottom:0pt;margin-top:13.05pt;mso-position-vertical-relative:text;mso-position-horizontal-relative:margin;position:absolute;height:302.25pt;mso-wrap-distance-top:0pt;width:458.4pt;mso-wrap-distance-left:9pt;margin-left:1.1000000000000001pt;z-index:-503316471;" o:spid="_x0000_s1032" o:allowincell="t" o:allowoverlap="t" filled="f" stroked="t" strokecolor="#4f81bd [3204]" strokeweight="3pt" o:spt="1">
                <v:fill/>
                <v:stroke linestyle="thinThin" endcap="flat" dashstyle="solid" filltype="solid"/>
                <v:textbox style="layout-flow:horizontal;"/>
                <v:imagedata o:title=""/>
                <w10:wrap type="none" anchorx="margin" anchory="text"/>
              </v:rect>
            </w:pict>
          </mc:Fallback>
        </mc:AlternateContent>
      </w:r>
      <w:r>
        <w:rPr>
          <w:rFonts w:hint="eastAsia" w:ascii="HG丸ｺﾞｼｯｸM-PRO" w:hAnsi="HG丸ｺﾞｼｯｸM-PRO" w:eastAsia="HG丸ｺﾞｼｯｸM-PRO"/>
          <w:b w:val="1"/>
          <w:sz w:val="24"/>
        </w:rPr>
        <w:t>いのちはぐくむ水、土、緑</w:t>
      </w:r>
    </w:p>
    <w:p>
      <w:pPr>
        <w:pStyle w:val="0"/>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未来につなぐ</w:t>
      </w:r>
    </w:p>
    <w:p>
      <w:pPr>
        <w:pStyle w:val="0"/>
        <w:spacing w:after="120" w:afterLines="0" w:afterAutospacing="0"/>
        <w:jc w:val="center"/>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にぎわいのまち</w:t>
      </w:r>
    </w:p>
    <w:p>
      <w:pPr>
        <w:pStyle w:val="0"/>
        <w:spacing w:line="280" w:lineRule="exact"/>
        <w:ind w:left="210" w:leftChars="100" w:right="105" w:rightChars="50" w:firstLine="220" w:firstLineChars="100"/>
        <w:jc w:val="left"/>
        <w:rPr>
          <w:rFonts w:hint="default" w:ascii="HG丸ｺﾞｼｯｸM-PRO" w:hAnsi="HG丸ｺﾞｼｯｸM-PRO" w:eastAsia="HG丸ｺﾞｼｯｸM-PRO"/>
          <w:sz w:val="22"/>
        </w:rPr>
      </w:pPr>
    </w:p>
    <w:p>
      <w:pPr>
        <w:pStyle w:val="0"/>
        <w:spacing w:line="280" w:lineRule="exact"/>
        <w:ind w:left="210" w:leftChars="100" w:right="105" w:rightChars="50" w:firstLine="220" w:firstLineChars="1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長い歴史の積み重ねの中で、綿綿といのちを育んできた水、土、緑。</w:t>
      </w:r>
    </w:p>
    <w:p>
      <w:pPr>
        <w:pStyle w:val="0"/>
        <w:spacing w:after="120" w:afterLines="0" w:afterAutospacing="0" w:line="280" w:lineRule="exact"/>
        <w:ind w:left="210" w:leftChars="100" w:right="105" w:rightChars="50" w:firstLine="220" w:firstLineChars="1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多くの自然の恵みの中で人々の営みが成り立ち、地域産業や文化が発展し、現在、私たちは豊かで快適な生活を享受しています。</w:t>
      </w:r>
    </w:p>
    <w:p>
      <w:pPr>
        <w:pStyle w:val="0"/>
        <w:spacing w:after="120" w:afterLines="0" w:afterAutospacing="0" w:line="280" w:lineRule="exact"/>
        <w:ind w:left="210" w:leftChars="100" w:right="105" w:rightChars="50" w:firstLine="220" w:firstLineChars="1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しかし、豊かで快適な生活は、水質や大気、土壌汚染、ごみの問題等を引き起こし、私たちは集中豪雨や台風の巨大化等の異常気象、地球温暖化が原因とされる様々な大きな課題に直面しています。</w:t>
      </w:r>
    </w:p>
    <w:p>
      <w:pPr>
        <w:pStyle w:val="0"/>
        <w:spacing w:line="280" w:lineRule="exact"/>
        <w:ind w:left="210" w:leftChars="100" w:right="105" w:rightChars="50" w:firstLine="220" w:firstLineChars="1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きれいな空や大地、川面に吹く心地よい風、ゆったりとした里山里地。</w:t>
      </w:r>
    </w:p>
    <w:p>
      <w:pPr>
        <w:pStyle w:val="0"/>
        <w:spacing w:after="120" w:afterLines="0" w:afterAutospacing="0" w:line="280" w:lineRule="exact"/>
        <w:ind w:left="210" w:leftChars="100" w:right="105" w:rightChars="50" w:firstLine="220" w:firstLineChars="1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このような安らぎを感じる自然豊かなまちで、自然の恵みを活用したエネルギーや資源が循環し、環境への負荷を限りなく低減させた持続可能なにぎわいのある低炭素なまち。そして、だれもが安全安心で暮らしやすい快適なまち。</w:t>
      </w:r>
    </w:p>
    <w:p>
      <w:pPr>
        <w:pStyle w:val="0"/>
        <w:spacing w:after="120" w:afterLines="0" w:afterAutospacing="0" w:line="280" w:lineRule="exact"/>
        <w:ind w:left="210" w:leftChars="100" w:right="105" w:rightChars="50" w:firstLine="220" w:firstLineChars="1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私たちは計画策定にあたり、このまちに住むあらゆる世代が力を合わせ、協働により、このようなまちを未来の世代に引き継いでいく思いを新たにしました。</w:t>
      </w:r>
    </w:p>
    <w:p>
      <w:pPr>
        <w:pStyle w:val="0"/>
        <w:spacing w:line="280" w:lineRule="exact"/>
        <w:ind w:left="210" w:leftChars="100" w:right="105" w:rightChars="50" w:firstLine="220" w:firstLineChars="1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そして改めて私たちの思いを環境将来像に込めて表します。</w:t>
      </w:r>
    </w:p>
    <w:p>
      <w:pPr>
        <w:pStyle w:val="0"/>
        <w:spacing w:line="280" w:lineRule="exact"/>
        <w:ind w:left="210" w:leftChars="100" w:right="105" w:rightChars="50" w:firstLine="220" w:firstLineChars="1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「刻</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とき</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を積み、いのちはぐくむ水、土、緑　未来につなぐ　にぎわいのまち」</w:t>
      </w:r>
    </w:p>
    <w:p>
      <w:pPr>
        <w:pStyle w:val="0"/>
        <w:rPr>
          <w:rFonts w:hint="default"/>
          <w:sz w:val="22"/>
        </w:rPr>
      </w:pPr>
    </w:p>
    <w:p>
      <w:pPr>
        <w:pStyle w:val="0"/>
        <w:widowControl w:val="1"/>
        <w:jc w:val="left"/>
        <w:rPr>
          <w:rFonts w:hint="default"/>
          <w:sz w:val="22"/>
        </w:rPr>
      </w:pPr>
      <w:r>
        <w:rPr>
          <w:rFonts w:hint="default"/>
          <w:sz w:val="22"/>
        </w:rPr>
        <w:br w:type="page"/>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32"/>
        </w:rPr>
        <w:t>第</w:t>
      </w:r>
      <w:r>
        <w:rPr>
          <w:rFonts w:hint="eastAsia" w:ascii="HG丸ｺﾞｼｯｸM-PRO" w:hAnsi="HG丸ｺﾞｼｯｸM-PRO" w:eastAsia="HG丸ｺﾞｼｯｸM-PRO"/>
          <w:sz w:val="32"/>
        </w:rPr>
        <w:t>2</w:t>
      </w:r>
      <w:r>
        <w:rPr>
          <w:rFonts w:hint="eastAsia" w:ascii="HG丸ｺﾞｼｯｸM-PRO" w:hAnsi="HG丸ｺﾞｼｯｸM-PRO" w:eastAsia="HG丸ｺﾞｼｯｸM-PRO"/>
          <w:sz w:val="32"/>
        </w:rPr>
        <w:t>章　津山市の地域概要</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この章では、気象などの地域特性、人口などの社会環境特性について、データで示し傾向を把握します。なお、参考資料の表示のないものについては、全て津山市統計書を参考としており、データについては把握可能な最新データを活用していることから、必ずしも</w:t>
      </w:r>
      <w:r>
        <w:rPr>
          <w:rFonts w:hint="eastAsia" w:ascii="HG丸ｺﾞｼｯｸM-PRO" w:hAnsi="HG丸ｺﾞｼｯｸM-PRO" w:eastAsia="HG丸ｺﾞｼｯｸM-PRO"/>
          <w:sz w:val="24"/>
          <w:highlight w:val="none"/>
        </w:rPr>
        <w:t>令和元</w:t>
      </w:r>
      <w:r>
        <w:rPr>
          <w:rFonts w:hint="eastAsia" w:ascii="HG丸ｺﾞｼｯｸM-PRO" w:hAnsi="HG丸ｺﾞｼｯｸM-PRO" w:eastAsia="HG丸ｺﾞｼｯｸM-PRO"/>
          <w:sz w:val="24"/>
        </w:rPr>
        <w:t>年度の実績値ではありません。</w:t>
      </w:r>
    </w:p>
    <w:p>
      <w:pPr>
        <w:pStyle w:val="0"/>
        <w:rPr>
          <w:rFonts w:hint="default" w:ascii="HG丸ｺﾞｼｯｸM-PRO" w:hAnsi="HG丸ｺﾞｼｯｸM-PRO" w:eastAsia="HG丸ｺﾞｼｯｸM-PRO"/>
          <w:sz w:val="24"/>
        </w:rPr>
      </w:pPr>
    </w:p>
    <w:p>
      <w:pPr>
        <w:pStyle w:val="0"/>
        <w:numPr>
          <w:ilvl w:val="0"/>
          <w:numId w:val="1"/>
        </w:numPr>
        <w:rPr>
          <w:rFonts w:hint="default" w:ascii="HG丸ｺﾞｼｯｸM-PRO" w:hAnsi="HG丸ｺﾞｼｯｸM-PRO" w:eastAsia="HG丸ｺﾞｼｯｸM-PRO"/>
          <w:sz w:val="24"/>
          <w:u w:val="single" w:color="auto"/>
        </w:rPr>
      </w:pPr>
      <w:r>
        <w:rPr>
          <w:rFonts w:hint="eastAsia"/>
        </w:rPr>
        <mc:AlternateContent>
          <mc:Choice Requires="wps">
            <w:drawing>
              <wp:anchor distT="0" distB="0" distL="114300" distR="114300" simplePos="0" relativeHeight="39" behindDoc="0" locked="0" layoutInCell="1" hidden="0" allowOverlap="1">
                <wp:simplePos x="0" y="0"/>
                <wp:positionH relativeFrom="column">
                  <wp:posOffset>1821815</wp:posOffset>
                </wp:positionH>
                <wp:positionV relativeFrom="paragraph">
                  <wp:posOffset>187960</wp:posOffset>
                </wp:positionV>
                <wp:extent cx="1857375" cy="361950"/>
                <wp:effectExtent l="0" t="0" r="635" b="635"/>
                <wp:wrapNone/>
                <wp:docPr id="1033" name="テキスト ボックス 16"/>
                <a:graphic xmlns:a="http://schemas.openxmlformats.org/drawingml/2006/main">
                  <a:graphicData uri="http://schemas.microsoft.com/office/word/2010/wordprocessingShape">
                    <wps:wsp>
                      <wps:cNvPr id="1033" name="テキスト ボックス 16"/>
                      <wps:cNvSpPr txBox="1"/>
                      <wps:spPr>
                        <a:xfrm>
                          <a:off x="0" y="0"/>
                          <a:ext cx="1857375" cy="361950"/>
                        </a:xfrm>
                        <a:prstGeom prst="rect">
                          <a:avLst/>
                        </a:prstGeom>
                        <a:noFill/>
                        <a:ln w="6350">
                          <a:noFill/>
                        </a:ln>
                        <a:effectLst/>
                      </wps:spPr>
                      <wps:txbx>
                        <w:txbxContent>
                          <w:p>
                            <w:pPr>
                              <w:pStyle w:val="0"/>
                              <w:snapToGrid w:val="0"/>
                              <w:jc w:val="center"/>
                              <w:rPr>
                                <w:rFonts w:hint="default" w:ascii="ＭＳ ゴシック" w:hAnsi="ＭＳ ゴシック" w:eastAsia="ＭＳ ゴシック"/>
                                <w:sz w:val="22"/>
                              </w:rPr>
                            </w:pPr>
                            <w:r>
                              <w:rPr>
                                <w:rFonts w:hint="eastAsia" w:ascii="ＭＳ ゴシック" w:hAnsi="ＭＳ ゴシック" w:eastAsia="ＭＳ ゴシック"/>
                                <w:sz w:val="22"/>
                              </w:rPr>
                              <w:t>年間降水量及び気温</w:t>
                            </w:r>
                          </w:p>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6" style="mso-wrap-distance-right:9pt;mso-wrap-distance-bottom:0pt;margin-top:14.8pt;mso-position-vertical-relative:text;mso-position-horizontal-relative:text;v-text-anchor:top;position:absolute;height:28.5pt;mso-wrap-distance-top:0pt;width:146.25pt;mso-wrap-distance-left:9pt;margin-left:143.44pt;z-index:39;" o:spid="_x0000_s1033" o:allowincell="t" o:allowoverlap="t" filled="f" stroked="f" strokeweight="0.5pt" o:spt="202" type="#_x0000_t202">
                <v:fill/>
                <v:textbox style="layout-flow:horizontal;">
                  <w:txbxContent>
                    <w:p>
                      <w:pPr>
                        <w:pStyle w:val="0"/>
                        <w:snapToGrid w:val="0"/>
                        <w:jc w:val="center"/>
                        <w:rPr>
                          <w:rFonts w:hint="default" w:ascii="ＭＳ ゴシック" w:hAnsi="ＭＳ ゴシック" w:eastAsia="ＭＳ ゴシック"/>
                          <w:sz w:val="22"/>
                        </w:rPr>
                      </w:pPr>
                      <w:r>
                        <w:rPr>
                          <w:rFonts w:hint="eastAsia" w:ascii="ＭＳ ゴシック" w:hAnsi="ＭＳ ゴシック" w:eastAsia="ＭＳ ゴシック"/>
                          <w:sz w:val="22"/>
                        </w:rPr>
                        <w:t>年間降水量及び気温</w:t>
                      </w:r>
                    </w:p>
                    <w:p>
                      <w:pPr>
                        <w:pStyle w:val="0"/>
                        <w:rPr>
                          <w:rFonts w:hint="default"/>
                        </w:rPr>
                      </w:pPr>
                    </w:p>
                  </w:txbxContent>
                </v:textbox>
                <v:imagedata o:title=""/>
                <w10:wrap type="none" anchorx="text" anchory="text"/>
              </v:shape>
            </w:pict>
          </mc:Fallback>
        </mc:AlternateContent>
      </w:r>
      <w:r>
        <w:rPr>
          <w:rFonts w:hint="eastAsia" w:ascii="HG丸ｺﾞｼｯｸM-PRO" w:hAnsi="HG丸ｺﾞｼｯｸM-PRO" w:eastAsia="HG丸ｺﾞｼｯｸM-PRO"/>
          <w:sz w:val="24"/>
          <w:u w:val="single" w:color="auto"/>
        </w:rPr>
        <w:t>気象</w:t>
      </w:r>
    </w:p>
    <w:p>
      <w:pPr>
        <w:pStyle w:val="0"/>
        <w:ind w:left="720"/>
        <w:rPr>
          <w:rFonts w:hint="default" w:ascii="HG丸ｺﾞｼｯｸM-PRO" w:hAnsi="HG丸ｺﾞｼｯｸM-PRO" w:eastAsia="HG丸ｺﾞｼｯｸM-PRO"/>
          <w:sz w:val="24"/>
          <w:u w:val="single" w:color="auto"/>
        </w:rPr>
      </w:pPr>
      <w:r>
        <w:rPr>
          <w:rFonts w:hint="eastAsia"/>
        </w:rPr>
        <w:drawing>
          <wp:anchor distT="0" distB="0" distL="203200" distR="203200" simplePos="0" relativeHeight="7" behindDoc="0" locked="0" layoutInCell="1" hidden="0" allowOverlap="1">
            <wp:simplePos x="0" y="0"/>
            <wp:positionH relativeFrom="column">
              <wp:posOffset>372745</wp:posOffset>
            </wp:positionH>
            <wp:positionV relativeFrom="paragraph">
              <wp:posOffset>3539490</wp:posOffset>
            </wp:positionV>
            <wp:extent cx="5281295" cy="3204210"/>
            <wp:effectExtent l="0" t="0" r="0" b="0"/>
            <wp:wrapNone/>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14"/>
                    <a:stretch>
                      <a:fillRect/>
                    </a:stretch>
                  </pic:blipFill>
                  <pic:spPr>
                    <a:xfrm>
                      <a:off x="0" y="0"/>
                      <a:ext cx="5281295" cy="3204210"/>
                    </a:xfrm>
                    <a:prstGeom prst="rect">
                      <a:avLst/>
                    </a:prstGeom>
                  </pic:spPr>
                </pic:pic>
              </a:graphicData>
            </a:graphic>
          </wp:anchor>
        </w:drawing>
      </w:r>
      <w:r>
        <w:rPr>
          <w:rFonts w:hint="eastAsia"/>
        </w:rPr>
        <w:drawing>
          <wp:anchor distT="0" distB="0" distL="203200" distR="203200" simplePos="0" relativeHeight="6" behindDoc="1" locked="0" layoutInCell="1" hidden="0" allowOverlap="1">
            <wp:simplePos x="0" y="0"/>
            <wp:positionH relativeFrom="column">
              <wp:posOffset>133350</wp:posOffset>
            </wp:positionH>
            <wp:positionV relativeFrom="paragraph">
              <wp:posOffset>114300</wp:posOffset>
            </wp:positionV>
            <wp:extent cx="5759450" cy="3121660"/>
            <wp:effectExtent l="0" t="0" r="0" b="0"/>
            <wp:wrapNone/>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15"/>
                    <a:stretch>
                      <a:fillRect/>
                    </a:stretch>
                  </pic:blipFill>
                  <pic:spPr>
                    <a:xfrm>
                      <a:off x="0" y="0"/>
                      <a:ext cx="5759450" cy="3121660"/>
                    </a:xfrm>
                    <a:prstGeom prst="rect">
                      <a:avLst/>
                    </a:prstGeom>
                  </pic:spPr>
                </pic:pic>
              </a:graphicData>
            </a:graphic>
          </wp:anchor>
        </w:drawing>
      </w:r>
    </w:p>
    <w:p>
      <w:pPr>
        <w:pStyle w:val="0"/>
        <w:ind w:left="720"/>
        <w:rPr>
          <w:rFonts w:hint="default" w:ascii="HG丸ｺﾞｼｯｸM-PRO" w:hAnsi="HG丸ｺﾞｼｯｸM-PRO" w:eastAsia="HG丸ｺﾞｼｯｸM-PRO"/>
          <w:sz w:val="24"/>
          <w:u w:val="single" w:color="auto"/>
        </w:rPr>
      </w:pPr>
    </w:p>
    <w:p>
      <w:pPr>
        <w:pStyle w:val="0"/>
        <w:ind w:left="720"/>
        <w:rPr>
          <w:rFonts w:hint="default" w:ascii="HG丸ｺﾞｼｯｸM-PRO" w:hAnsi="HG丸ｺﾞｼｯｸM-PRO" w:eastAsia="HG丸ｺﾞｼｯｸM-PRO"/>
          <w:sz w:val="24"/>
          <w:u w:val="single" w:color="auto"/>
        </w:rPr>
      </w:pPr>
    </w:p>
    <w:p>
      <w:pPr>
        <w:pStyle w:val="0"/>
        <w:ind w:left="0" w:leftChars="0" w:firstLineChars="0"/>
        <w:rPr>
          <w:rFonts w:hint="default" w:ascii="HG丸ｺﾞｼｯｸM-PRO" w:hAnsi="HG丸ｺﾞｼｯｸM-PRO" w:eastAsia="HG丸ｺﾞｼｯｸM-PRO"/>
          <w:sz w:val="24"/>
          <w:u w:val="none" w:color="auto"/>
        </w:rPr>
      </w:pPr>
      <w:r>
        <w:rPr>
          <w:rFonts w:hint="eastAsia" w:ascii="HG丸ｺﾞｼｯｸM-PRO" w:hAnsi="HG丸ｺﾞｼｯｸM-PRO" w:eastAsia="HG丸ｺﾞｼｯｸM-PRO"/>
          <w:sz w:val="24"/>
          <w:u w:val="none" w:color="auto"/>
        </w:rPr>
        <w:t>　</w:t>
      </w:r>
    </w:p>
    <w:p>
      <w:pPr>
        <w:pStyle w:val="0"/>
        <w:rPr>
          <w:rFonts w:hint="default" w:ascii="HG丸ｺﾞｼｯｸM-PRO" w:hAnsi="HG丸ｺﾞｼｯｸM-PRO" w:eastAsia="HG丸ｺﾞｼｯｸM-PRO"/>
          <w:sz w:val="24"/>
        </w:rPr>
      </w:pPr>
    </w:p>
    <w:p>
      <w:pPr>
        <w:pStyle w:val="0"/>
        <w:jc w:val="both"/>
        <w:rPr>
          <w:rFonts w:hint="default" w:ascii="HG丸ｺﾞｼｯｸM-PRO" w:hAnsi="HG丸ｺﾞｼｯｸM-PRO" w:eastAsia="HG丸ｺﾞｼｯｸM-PRO"/>
          <w:sz w:val="24"/>
        </w:rPr>
      </w:pPr>
      <w:r>
        <w:rPr>
          <w:rFonts w:hint="eastAsia"/>
        </w:rPr>
        <mc:AlternateContent>
          <mc:Choice Requires="wps">
            <w:drawing>
              <wp:anchor distT="0" distB="0" distL="114300" distR="114300" simplePos="0" relativeHeight="42" behindDoc="0" locked="0" layoutInCell="1" hidden="0" allowOverlap="1">
                <wp:simplePos x="0" y="0"/>
                <wp:positionH relativeFrom="column">
                  <wp:posOffset>3679190</wp:posOffset>
                </wp:positionH>
                <wp:positionV relativeFrom="paragraph">
                  <wp:posOffset>5372100</wp:posOffset>
                </wp:positionV>
                <wp:extent cx="2303780" cy="323850"/>
                <wp:effectExtent l="0" t="0" r="635" b="635"/>
                <wp:wrapNone/>
                <wp:docPr id="1036" name="テキスト ボックス 2"/>
                <a:graphic xmlns:a="http://schemas.openxmlformats.org/drawingml/2006/main">
                  <a:graphicData uri="http://schemas.microsoft.com/office/word/2010/wordprocessingShape">
                    <wps:wsp>
                      <wps:cNvPr id="1036" name="テキスト ボックス 2"/>
                      <wps:cNvSpPr txBox="1">
                        <a:spLocks noChangeArrowheads="1"/>
                      </wps:cNvSpPr>
                      <wps:spPr>
                        <a:xfrm>
                          <a:off x="0" y="0"/>
                          <a:ext cx="2303780" cy="323850"/>
                        </a:xfrm>
                        <a:prstGeom prst="rect">
                          <a:avLst/>
                        </a:prstGeom>
                        <a:noFill/>
                        <a:ln w="9525">
                          <a:noFill/>
                          <a:miter lim="800000"/>
                          <a:headEnd/>
                          <a:tailEnd/>
                        </a:ln>
                      </wps:spPr>
                      <wps:txbx>
                        <w:txbxContent>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sz w:val="18"/>
                              </w:rPr>
                              <w:t>資料：気象庁、アメダス津山観測所</w:t>
                            </w:r>
                          </w:p>
                          <w:p>
                            <w:pPr>
                              <w:pStyle w:val="0"/>
                              <w:rPr>
                                <w:rFonts w:hint="default"/>
                              </w:rPr>
                            </w:pPr>
                          </w:p>
                        </w:txbxContent>
                      </wps:txbx>
                      <wps:bodyPr rot="0" vertOverflow="overflow" horzOverflow="overflow" wrap="square" anchor="t" anchorCtr="0"/>
                    </wps:wsp>
                  </a:graphicData>
                </a:graphic>
                <wp14:sizeRelH relativeFrom="margin">
                  <wp14:pctWidth>40000</wp14:pctWidth>
                </wp14:sizeRelH>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423pt;mso-position-vertical-relative:text;mso-position-horizontal-relative:text;v-text-anchor:top;position:absolute;height:25.5pt;mso-wrap-distance-top:0pt;width:181.4pt;mso-wrap-distance-left:9pt;margin-left:289.7pt;z-index:42;" o:spid="_x0000_s1036" o:allowincell="t" o:allowoverlap="t" filled="f" stroked="f" strokeweight="0.75pt" o:spt="202" type="#_x0000_t202">
                <v:fill/>
                <v:stroke miterlimit="8"/>
                <v:textbox style="layout-flow:horizontal;">
                  <w:txbxContent>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sz w:val="18"/>
                        </w:rPr>
                        <w:t>資料：気象庁、アメダス津山観測所</w:t>
                      </w:r>
                    </w:p>
                    <w:p>
                      <w:pPr>
                        <w:pStyle w:val="0"/>
                        <w:rPr>
                          <w:rFonts w:hint="default"/>
                        </w:rPr>
                      </w:pP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38" behindDoc="0" locked="0" layoutInCell="1" hidden="0" allowOverlap="1">
                <wp:simplePos x="0" y="0"/>
                <wp:positionH relativeFrom="column">
                  <wp:posOffset>3679190</wp:posOffset>
                </wp:positionH>
                <wp:positionV relativeFrom="paragraph">
                  <wp:posOffset>2016760</wp:posOffset>
                </wp:positionV>
                <wp:extent cx="2303780" cy="323850"/>
                <wp:effectExtent l="0" t="0" r="635" b="635"/>
                <wp:wrapNone/>
                <wp:docPr id="1037" name="テキスト ボックス 2"/>
                <a:graphic xmlns:a="http://schemas.openxmlformats.org/drawingml/2006/main">
                  <a:graphicData uri="http://schemas.microsoft.com/office/word/2010/wordprocessingShape">
                    <wps:wsp>
                      <wps:cNvPr id="1037" name="テキスト ボックス 2"/>
                      <wps:cNvSpPr txBox="1">
                        <a:spLocks noChangeArrowheads="1"/>
                      </wps:cNvSpPr>
                      <wps:spPr>
                        <a:xfrm>
                          <a:off x="0" y="0"/>
                          <a:ext cx="2303780" cy="323850"/>
                        </a:xfrm>
                        <a:prstGeom prst="rect">
                          <a:avLst/>
                        </a:prstGeom>
                        <a:noFill/>
                        <a:ln w="9525">
                          <a:noFill/>
                          <a:miter lim="800000"/>
                          <a:headEnd/>
                          <a:tailEnd/>
                        </a:ln>
                      </wps:spPr>
                      <wps:txbx>
                        <w:txbxContent>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sz w:val="18"/>
                              </w:rPr>
                              <w:t>資料：気象庁、アメダス津山観測所</w:t>
                            </w:r>
                          </w:p>
                          <w:p>
                            <w:pPr>
                              <w:pStyle w:val="0"/>
                              <w:rPr>
                                <w:rFonts w:hint="default"/>
                              </w:rPr>
                            </w:pPr>
                          </w:p>
                        </w:txbxContent>
                      </wps:txbx>
                      <wps:bodyPr rot="0" vertOverflow="overflow" horzOverflow="overflow" wrap="square" anchor="t" anchorCtr="0"/>
                    </wps:wsp>
                  </a:graphicData>
                </a:graphic>
                <wp14:sizeRelH relativeFrom="margin">
                  <wp14:pctWidth>40000</wp14:pctWidth>
                </wp14:sizeRelH>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58.80000000000001pt;mso-position-vertical-relative:text;mso-position-horizontal-relative:text;v-text-anchor:top;position:absolute;height:25.5pt;mso-wrap-distance-top:0pt;width:181.4pt;mso-wrap-distance-left:9pt;margin-left:289.7pt;z-index:38;" o:spid="_x0000_s1037" o:allowincell="t" o:allowoverlap="t" filled="f" stroked="f" strokeweight="0.75pt" o:spt="202" type="#_x0000_t202">
                <v:fill/>
                <v:stroke miterlimit="8"/>
                <v:textbox style="layout-flow:horizontal;">
                  <w:txbxContent>
                    <w:p>
                      <w:pPr>
                        <w:pStyle w:val="0"/>
                        <w:jc w:val="center"/>
                        <w:rPr>
                          <w:rFonts w:hint="default" w:ascii="HG丸ｺﾞｼｯｸM-PRO" w:hAnsi="HG丸ｺﾞｼｯｸM-PRO" w:eastAsia="HG丸ｺﾞｼｯｸM-PRO"/>
                        </w:rPr>
                      </w:pPr>
                      <w:r>
                        <w:rPr>
                          <w:rFonts w:hint="eastAsia" w:ascii="HG丸ｺﾞｼｯｸM-PRO" w:hAnsi="HG丸ｺﾞｼｯｸM-PRO" w:eastAsia="HG丸ｺﾞｼｯｸM-PRO"/>
                          <w:sz w:val="18"/>
                        </w:rPr>
                        <w:t>資料：気象庁、アメダス津山観測所</w:t>
                      </w:r>
                    </w:p>
                    <w:p>
                      <w:pPr>
                        <w:pStyle w:val="0"/>
                        <w:rPr>
                          <w:rFonts w:hint="default"/>
                        </w:rPr>
                      </w:pP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41" behindDoc="0" locked="0" layoutInCell="1" hidden="0" allowOverlap="1">
                <wp:simplePos x="0" y="0"/>
                <wp:positionH relativeFrom="column">
                  <wp:posOffset>7620</wp:posOffset>
                </wp:positionH>
                <wp:positionV relativeFrom="paragraph">
                  <wp:posOffset>5486400</wp:posOffset>
                </wp:positionV>
                <wp:extent cx="2926080" cy="1804035"/>
                <wp:effectExtent l="0" t="0" r="635" b="635"/>
                <wp:wrapNone/>
                <wp:docPr id="1038" name="テキスト ボックス 2"/>
                <a:graphic xmlns:a="http://schemas.openxmlformats.org/drawingml/2006/main">
                  <a:graphicData uri="http://schemas.microsoft.com/office/word/2010/wordprocessingShape">
                    <wps:wsp>
                      <wps:cNvPr id="1038" name="テキスト ボックス 2"/>
                      <wps:cNvSpPr txBox="1">
                        <a:spLocks noChangeArrowheads="1"/>
                      </wps:cNvSpPr>
                      <wps:spPr>
                        <a:xfrm>
                          <a:off x="0" y="0"/>
                          <a:ext cx="2926080" cy="1804035"/>
                        </a:xfrm>
                        <a:prstGeom prst="rect">
                          <a:avLst/>
                        </a:prstGeom>
                        <a:solidFill>
                          <a:srgbClr val="FFFFFF"/>
                        </a:solidFill>
                        <a:ln w="9525">
                          <a:noFill/>
                          <a:miter lim="800000"/>
                          <a:headEnd/>
                          <a:tailEnd/>
                        </a:ln>
                      </wps:spPr>
                      <wps:txbx>
                        <w:txbxContent>
                          <w:p>
                            <w:pPr>
                              <w:pStyle w:val="0"/>
                              <w:rPr>
                                <w:rFonts w:hint="default" w:asciiTheme="majorEastAsia" w:hAnsiTheme="majorEastAsia" w:eastAsiaTheme="majorEastAsia"/>
                                <w:sz w:val="20"/>
                              </w:rPr>
                            </w:pPr>
                            <w:r>
                              <w:rPr>
                                <w:rFonts w:hint="eastAsia" w:asciiTheme="majorEastAsia" w:hAnsiTheme="majorEastAsia" w:eastAsiaTheme="majorEastAsia"/>
                                <w:sz w:val="20"/>
                              </w:rPr>
                              <w:t>※点線は平年値との差を表す近似曲線です。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432pt;mso-position-vertical-relative:text;mso-position-horizontal-relative:text;v-text-anchor:top;position:absolute;height:142.05000000000001pt;mso-wrap-distance-top:0pt;width:230.4pt;mso-wrap-distance-left:9pt;margin-left:0.6pt;z-index:41;" o:spid="_x0000_s1038" o:allowincell="t" o:allowoverlap="t" filled="t" fillcolor="#ffffff" stroked="f" strokeweight="0.75pt" o:spt="202" type="#_x0000_t202">
                <v:fill/>
                <v:stroke miterlimit="8"/>
                <v:textbox style="layout-flow:horizontal;mso-fit-shape-to-text:t;">
                  <w:txbxContent>
                    <w:p>
                      <w:pPr>
                        <w:pStyle w:val="0"/>
                        <w:rPr>
                          <w:rFonts w:hint="default" w:asciiTheme="majorEastAsia" w:hAnsiTheme="majorEastAsia" w:eastAsiaTheme="majorEastAsia"/>
                          <w:sz w:val="20"/>
                        </w:rPr>
                      </w:pPr>
                      <w:r>
                        <w:rPr>
                          <w:rFonts w:hint="eastAsia" w:asciiTheme="majorEastAsia" w:hAnsiTheme="majorEastAsia" w:eastAsiaTheme="majorEastAsia"/>
                          <w:sz w:val="20"/>
                        </w:rPr>
                        <w:t>※点線は平年値との差を表す近似曲線です。</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40" behindDoc="0" locked="0" layoutInCell="1" hidden="0" allowOverlap="1">
                <wp:simplePos x="0" y="0"/>
                <wp:positionH relativeFrom="column">
                  <wp:posOffset>1733550</wp:posOffset>
                </wp:positionH>
                <wp:positionV relativeFrom="paragraph">
                  <wp:posOffset>2381250</wp:posOffset>
                </wp:positionV>
                <wp:extent cx="2458085" cy="361950"/>
                <wp:effectExtent l="0" t="0" r="635" b="635"/>
                <wp:wrapNone/>
                <wp:docPr id="1039" name="テキスト ボックス 23"/>
                <a:graphic xmlns:a="http://schemas.openxmlformats.org/drawingml/2006/main">
                  <a:graphicData uri="http://schemas.microsoft.com/office/word/2010/wordprocessingShape">
                    <wps:wsp>
                      <wps:cNvPr id="1039" name="テキスト ボックス 23"/>
                      <wps:cNvSpPr txBox="1"/>
                      <wps:spPr>
                        <a:xfrm>
                          <a:off x="0" y="0"/>
                          <a:ext cx="2458085" cy="361950"/>
                        </a:xfrm>
                        <a:prstGeom prst="rect">
                          <a:avLst/>
                        </a:prstGeom>
                        <a:noFill/>
                        <a:ln w="6350">
                          <a:noFill/>
                        </a:ln>
                        <a:effectLst/>
                      </wps:spPr>
                      <wps:txbx>
                        <w:txbxContent>
                          <w:p>
                            <w:pPr>
                              <w:pStyle w:val="0"/>
                              <w:snapToGrid w:val="0"/>
                              <w:jc w:val="center"/>
                              <w:rPr>
                                <w:rFonts w:hint="default" w:ascii="ＭＳ ゴシック" w:hAnsi="ＭＳ ゴシック" w:eastAsia="ＭＳ ゴシック"/>
                                <w:sz w:val="22"/>
                              </w:rPr>
                            </w:pPr>
                            <w:r>
                              <w:rPr>
                                <w:rFonts w:hint="eastAsia" w:ascii="ＭＳ ゴシック" w:hAnsi="ＭＳ ゴシック" w:eastAsia="ＭＳ ゴシック"/>
                                <w:sz w:val="22"/>
                              </w:rPr>
                              <w:t>年平均気温と平年値との差の推移</w:t>
                            </w:r>
                          </w:p>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3" style="mso-wrap-distance-right:9pt;mso-wrap-distance-bottom:0pt;margin-top:187.5pt;mso-position-vertical-relative:text;mso-position-horizontal-relative:text;v-text-anchor:top;position:absolute;height:28.5pt;mso-wrap-distance-top:0pt;width:193.55pt;mso-wrap-distance-left:9pt;margin-left:136.5pt;z-index:40;" o:spid="_x0000_s1039" o:allowincell="t" o:allowoverlap="t" filled="f" stroked="f" strokeweight="0.5pt" o:spt="202" type="#_x0000_t202">
                <v:fill/>
                <v:textbox style="layout-flow:horizontal;">
                  <w:txbxContent>
                    <w:p>
                      <w:pPr>
                        <w:pStyle w:val="0"/>
                        <w:snapToGrid w:val="0"/>
                        <w:jc w:val="center"/>
                        <w:rPr>
                          <w:rFonts w:hint="default" w:ascii="ＭＳ ゴシック" w:hAnsi="ＭＳ ゴシック" w:eastAsia="ＭＳ ゴシック"/>
                          <w:sz w:val="22"/>
                        </w:rPr>
                      </w:pPr>
                      <w:r>
                        <w:rPr>
                          <w:rFonts w:hint="eastAsia" w:ascii="ＭＳ ゴシック" w:hAnsi="ＭＳ ゴシック" w:eastAsia="ＭＳ ゴシック"/>
                          <w:sz w:val="22"/>
                        </w:rPr>
                        <w:t>年平均気温と平年値との差の推移</w:t>
                      </w:r>
                    </w:p>
                    <w:p>
                      <w:pPr>
                        <w:pStyle w:val="0"/>
                        <w:rPr>
                          <w:rFonts w:hint="default"/>
                        </w:rPr>
                      </w:pPr>
                    </w:p>
                  </w:txbxContent>
                </v:textbox>
                <v:imagedata o:title=""/>
                <w10:wrap type="none" anchorx="text" anchory="text"/>
              </v:shape>
            </w:pict>
          </mc:Fallback>
        </mc:AlternateContent>
      </w:r>
      <w:r>
        <w:rPr>
          <w:rFonts w:hint="eastAsia"/>
        </w:rPr>
        <w:br w:type="page"/>
      </w:r>
    </w:p>
    <w:p>
      <w:pPr>
        <w:pStyle w:val="0"/>
        <w:jc w:val="center"/>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u w:val="single" w:color="auto"/>
        </w:rPr>
      </w:pPr>
      <w:r>
        <w:rPr>
          <w:rFonts w:hint="eastAsia" w:ascii="HG丸ｺﾞｼｯｸM-PRO" w:hAnsi="HG丸ｺﾞｼｯｸM-PRO" w:eastAsia="HG丸ｺﾞｼｯｸM-PRO"/>
          <w:sz w:val="24"/>
          <w:u w:val="single" w:color="auto"/>
        </w:rPr>
        <mc:AlternateContent>
          <mc:Choice Requires="wps">
            <w:drawing>
              <wp:anchor distT="0" distB="0" distL="114300" distR="114300" simplePos="0" relativeHeight="23" behindDoc="0" locked="0" layoutInCell="1" hidden="0" allowOverlap="1">
                <wp:simplePos x="0" y="0"/>
                <wp:positionH relativeFrom="column">
                  <wp:posOffset>1546860</wp:posOffset>
                </wp:positionH>
                <wp:positionV relativeFrom="paragraph">
                  <wp:posOffset>213360</wp:posOffset>
                </wp:positionV>
                <wp:extent cx="2886075" cy="279400"/>
                <wp:effectExtent l="0" t="0" r="635" b="635"/>
                <wp:wrapNone/>
                <wp:docPr id="1040" name="テキスト ボックス 5"/>
                <a:graphic xmlns:a="http://schemas.openxmlformats.org/drawingml/2006/main">
                  <a:graphicData uri="http://schemas.microsoft.com/office/word/2010/wordprocessingShape">
                    <wps:wsp>
                      <wps:cNvPr id="1040" name="テキスト ボックス 5"/>
                      <wps:cNvSpPr txBox="1"/>
                      <wps:spPr>
                        <a:xfrm>
                          <a:off x="0" y="0"/>
                          <a:ext cx="2886075" cy="279400"/>
                        </a:xfrm>
                        <a:prstGeom prst="rect">
                          <a:avLst/>
                        </a:prstGeom>
                        <a:noFill/>
                        <a:ln w="6350">
                          <a:noFill/>
                        </a:ln>
                        <a:effectLst/>
                      </wps:spPr>
                      <wps:txbx>
                        <w:txbxContent>
                          <w:p>
                            <w:pPr>
                              <w:pStyle w:val="0"/>
                              <w:snapToGrid w:val="0"/>
                              <w:rPr>
                                <w:rFonts w:hint="default" w:ascii="ＭＳ ゴシック" w:hAnsi="ＭＳ ゴシック" w:eastAsia="ＭＳ ゴシック"/>
                                <w:sz w:val="22"/>
                              </w:rPr>
                            </w:pPr>
                            <w:r>
                              <w:rPr>
                                <w:rFonts w:hint="eastAsia" w:ascii="ＭＳ ゴシック" w:hAnsi="ＭＳ ゴシック" w:eastAsia="ＭＳ ゴシック"/>
                                <w:sz w:val="22"/>
                              </w:rPr>
                              <w:t>人口・世帯数の推移（各年</w:t>
                            </w:r>
                            <w:r>
                              <w:rPr>
                                <w:rFonts w:hint="eastAsia" w:ascii="ＭＳ ゴシック" w:hAnsi="ＭＳ ゴシック" w:eastAsia="ＭＳ ゴシック"/>
                                <w:sz w:val="22"/>
                              </w:rPr>
                              <w:t>10</w:t>
                            </w:r>
                            <w:r>
                              <w:rPr>
                                <w:rFonts w:hint="eastAsia" w:ascii="ＭＳ ゴシック" w:hAnsi="ＭＳ ゴシック" w:eastAsia="ＭＳ ゴシック"/>
                                <w:sz w:val="22"/>
                              </w:rPr>
                              <w:t>月</w:t>
                            </w:r>
                            <w:r>
                              <w:rPr>
                                <w:rFonts w:hint="eastAsia" w:ascii="ＭＳ ゴシック" w:hAnsi="ＭＳ ゴシック" w:eastAsia="ＭＳ ゴシック"/>
                                <w:sz w:val="22"/>
                              </w:rPr>
                              <w:t>1</w:t>
                            </w:r>
                            <w:r>
                              <w:rPr>
                                <w:rFonts w:hint="eastAsia" w:ascii="ＭＳ ゴシック" w:hAnsi="ＭＳ ゴシック" w:eastAsia="ＭＳ ゴシック"/>
                                <w:sz w:val="22"/>
                              </w:rPr>
                              <w:t>日現在）</w:t>
                            </w:r>
                          </w:p>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 style="mso-wrap-distance-right:9pt;mso-wrap-distance-bottom:0pt;margin-top:16.8pt;mso-position-vertical-relative:text;mso-position-horizontal-relative:text;v-text-anchor:top;position:absolute;height:22pt;mso-wrap-distance-top:0pt;width:227.25pt;mso-wrap-distance-left:9pt;margin-left:121.8pt;z-index:23;" o:spid="_x0000_s1040" o:allowincell="t" o:allowoverlap="t" filled="f" stroked="f" strokeweight="0.5pt" o:spt="202" type="#_x0000_t202">
                <v:fill/>
                <v:textbox style="layout-flow:horizontal;">
                  <w:txbxContent>
                    <w:p>
                      <w:pPr>
                        <w:pStyle w:val="0"/>
                        <w:snapToGrid w:val="0"/>
                        <w:rPr>
                          <w:rFonts w:hint="default" w:ascii="ＭＳ ゴシック" w:hAnsi="ＭＳ ゴシック" w:eastAsia="ＭＳ ゴシック"/>
                          <w:sz w:val="22"/>
                        </w:rPr>
                      </w:pPr>
                      <w:r>
                        <w:rPr>
                          <w:rFonts w:hint="eastAsia" w:ascii="ＭＳ ゴシック" w:hAnsi="ＭＳ ゴシック" w:eastAsia="ＭＳ ゴシック"/>
                          <w:sz w:val="22"/>
                        </w:rPr>
                        <w:t>人口・世帯数の推移（各年</w:t>
                      </w:r>
                      <w:r>
                        <w:rPr>
                          <w:rFonts w:hint="eastAsia" w:ascii="ＭＳ ゴシック" w:hAnsi="ＭＳ ゴシック" w:eastAsia="ＭＳ ゴシック"/>
                          <w:sz w:val="22"/>
                        </w:rPr>
                        <w:t>10</w:t>
                      </w:r>
                      <w:r>
                        <w:rPr>
                          <w:rFonts w:hint="eastAsia" w:ascii="ＭＳ ゴシック" w:hAnsi="ＭＳ ゴシック" w:eastAsia="ＭＳ ゴシック"/>
                          <w:sz w:val="22"/>
                        </w:rPr>
                        <w:t>月</w:t>
                      </w:r>
                      <w:r>
                        <w:rPr>
                          <w:rFonts w:hint="eastAsia" w:ascii="ＭＳ ゴシック" w:hAnsi="ＭＳ ゴシック" w:eastAsia="ＭＳ ゴシック"/>
                          <w:sz w:val="22"/>
                        </w:rPr>
                        <w:t>1</w:t>
                      </w:r>
                      <w:r>
                        <w:rPr>
                          <w:rFonts w:hint="eastAsia" w:ascii="ＭＳ ゴシック" w:hAnsi="ＭＳ ゴシック" w:eastAsia="ＭＳ ゴシック"/>
                          <w:sz w:val="22"/>
                        </w:rPr>
                        <w:t>日現在）</w:t>
                      </w:r>
                    </w:p>
                    <w:p>
                      <w:pPr>
                        <w:pStyle w:val="0"/>
                        <w:rPr>
                          <w:rFonts w:hint="default"/>
                        </w:rPr>
                      </w:pPr>
                    </w:p>
                  </w:txbxContent>
                </v:textbox>
                <v:imagedata o:title=""/>
                <w10:wrap type="none" anchorx="text" anchory="text"/>
              </v:shape>
            </w:pict>
          </mc:Fallback>
        </mc:AlternateContent>
      </w:r>
      <w:r>
        <w:rPr>
          <w:rFonts w:hint="eastAsia" w:ascii="HG丸ｺﾞｼｯｸM-PRO" w:hAnsi="HG丸ｺﾞｼｯｸM-PRO" w:eastAsia="HG丸ｺﾞｼｯｸM-PRO"/>
          <w:sz w:val="24"/>
          <w:u w:val="single" w:color="auto"/>
        </w:rPr>
        <w:t>（２）人口・世帯</w:t>
      </w:r>
    </w:p>
    <w:p>
      <w:pPr>
        <w:pStyle w:val="0"/>
        <w:jc w:val="center"/>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mc:AlternateContent>
          <mc:Choice Requires="wps">
            <w:drawing>
              <wp:anchor distT="0" distB="0" distL="114300" distR="114300" simplePos="0" relativeHeight="22" behindDoc="0" locked="0" layoutInCell="1" hidden="0" allowOverlap="1">
                <wp:simplePos x="0" y="0"/>
                <wp:positionH relativeFrom="column">
                  <wp:posOffset>4352925</wp:posOffset>
                </wp:positionH>
                <wp:positionV relativeFrom="paragraph">
                  <wp:posOffset>2882265</wp:posOffset>
                </wp:positionV>
                <wp:extent cx="1295400" cy="276225"/>
                <wp:effectExtent l="0" t="0" r="635" b="635"/>
                <wp:wrapNone/>
                <wp:docPr id="1041" name="テキスト ボックス 2"/>
                <a:graphic xmlns:a="http://schemas.openxmlformats.org/drawingml/2006/main">
                  <a:graphicData uri="http://schemas.microsoft.com/office/word/2010/wordprocessingShape">
                    <wps:wsp>
                      <wps:cNvPr id="1041" name="テキスト ボックス 2"/>
                      <wps:cNvSpPr txBox="1">
                        <a:spLocks noChangeArrowheads="1"/>
                      </wps:cNvSpPr>
                      <wps:spPr>
                        <a:xfrm>
                          <a:off x="0" y="0"/>
                          <a:ext cx="1295400" cy="276225"/>
                        </a:xfrm>
                        <a:prstGeom prst="rect">
                          <a:avLst/>
                        </a:prstGeom>
                        <a:noFill/>
                        <a:ln w="9525">
                          <a:noFill/>
                          <a:miter lim="800000"/>
                          <a:headEnd/>
                          <a:tailEnd/>
                        </a:ln>
                      </wps:spPr>
                      <wps:txbx>
                        <w:txbxContent>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資料：国勢調査</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226.95pt;mso-position-vertical-relative:text;mso-position-horizontal-relative:text;v-text-anchor:top;position:absolute;height:21.75pt;mso-wrap-distance-top:0pt;width:102pt;mso-wrap-distance-left:9pt;margin-left:342.75pt;z-index:22;" o:spid="_x0000_s1041" o:allowincell="t" o:allowoverlap="t" filled="f" stroked="f" strokeweight="0.75pt" o:spt="202" type="#_x0000_t202">
                <v:fill/>
                <v:stroke miterlimit="8"/>
                <v:textbox style="layout-flow:horizontal;">
                  <w:txbxContent>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資料：国勢調査</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26" behindDoc="0" locked="0" layoutInCell="1" hidden="0" allowOverlap="1">
                <wp:simplePos x="0" y="0"/>
                <wp:positionH relativeFrom="column">
                  <wp:posOffset>725170</wp:posOffset>
                </wp:positionH>
                <wp:positionV relativeFrom="paragraph">
                  <wp:posOffset>2712085</wp:posOffset>
                </wp:positionV>
                <wp:extent cx="4248150" cy="257175"/>
                <wp:effectExtent l="635" t="635" r="29845" b="10795"/>
                <wp:wrapNone/>
                <wp:docPr id="1042" name="テキスト ボックス 8"/>
                <a:graphic xmlns:a="http://schemas.openxmlformats.org/drawingml/2006/main">
                  <a:graphicData uri="http://schemas.microsoft.com/office/word/2010/wordprocessingShape">
                    <wps:wsp>
                      <wps:cNvPr id="1042" name="テキスト ボックス 8"/>
                      <wps:cNvSpPr txBox="1"/>
                      <wps:spPr>
                        <a:xfrm>
                          <a:off x="0" y="0"/>
                          <a:ext cx="4248150" cy="257175"/>
                        </a:xfrm>
                        <a:prstGeom prst="rect">
                          <a:avLst/>
                        </a:prstGeom>
                        <a:noFill/>
                        <a:ln w="6350">
                          <a:solidFill>
                            <a:prstClr val="black"/>
                          </a:solidFill>
                          <a:prstDash val="sysDash"/>
                        </a:ln>
                        <a:effectLst/>
                      </wps:spPr>
                      <wps:txbx>
                        <w:txbxContent>
                          <w:p>
                            <w:pPr>
                              <w:pStyle w:val="0"/>
                              <w:spacing w:line="276" w:lineRule="auto"/>
                              <w:jc w:val="center"/>
                              <w:rPr>
                                <w:rFonts w:hint="default"/>
                                <w:sz w:val="18"/>
                              </w:rPr>
                            </w:pP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H12</w:t>
                            </w:r>
                            <w:r>
                              <w:rPr>
                                <w:rFonts w:hint="eastAsia" w:ascii="HG丸ｺﾞｼｯｸM-PRO" w:hAnsi="HG丸ｺﾞｼｯｸM-PRO" w:eastAsia="HG丸ｺﾞｼｯｸM-PRO"/>
                                <w:sz w:val="18"/>
                              </w:rPr>
                              <w:t>年以前の数値は津山市、加茂町、阿波村、勝北町、久米町の合計</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8" style="mso-wrap-distance-right:9pt;mso-wrap-distance-bottom:0pt;margin-top:213.55pt;mso-position-vertical-relative:text;mso-position-horizontal-relative:text;v-text-anchor:top;position:absolute;height:20.25pt;mso-wrap-distance-top:0pt;width:334.5pt;mso-wrap-distance-left:9pt;margin-left:57.1pt;z-index:26;" o:spid="_x0000_s1042" o:allowincell="t" o:allowoverlap="t" filled="f" stroked="t" strokecolor="#000000" strokeweight="0.5pt" o:spt="202" type="#_x0000_t202">
                <v:fill/>
                <v:stroke dashstyle="shortdash" filltype="solid"/>
                <v:textbox style="layout-flow:horizontal;" inset="2.0637499999999998mm,0.24694444444444438mm,2.0637499999999998mm,0.24694444444444438mm">
                  <w:txbxContent>
                    <w:p>
                      <w:pPr>
                        <w:pStyle w:val="0"/>
                        <w:spacing w:line="276" w:lineRule="auto"/>
                        <w:jc w:val="center"/>
                        <w:rPr>
                          <w:rFonts w:hint="default"/>
                          <w:sz w:val="18"/>
                        </w:rPr>
                      </w:pP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H12</w:t>
                      </w:r>
                      <w:r>
                        <w:rPr>
                          <w:rFonts w:hint="eastAsia" w:ascii="HG丸ｺﾞｼｯｸM-PRO" w:hAnsi="HG丸ｺﾞｼｯｸM-PRO" w:eastAsia="HG丸ｺﾞｼｯｸM-PRO"/>
                          <w:sz w:val="18"/>
                        </w:rPr>
                        <w:t>年以前の数値は津山市、加茂町、阿波村、勝北町、久米町の合計</w:t>
                      </w:r>
                    </w:p>
                  </w:txbxContent>
                </v:textbox>
                <v:imagedata o:title=""/>
                <w10:wrap type="none" anchorx="text" anchory="text"/>
              </v:shape>
            </w:pict>
          </mc:Fallback>
        </mc:AlternateContent>
      </w:r>
      <w:r>
        <w:rPr>
          <w:rFonts w:hint="default" w:ascii="HG丸ｺﾞｼｯｸM-PRO" w:hAnsi="HG丸ｺﾞｼｯｸM-PRO" w:eastAsia="HG丸ｺﾞｼｯｸM-PRO"/>
          <w:sz w:val="24"/>
        </w:rPr>
        <w:drawing>
          <wp:inline distT="0" distB="0" distL="0" distR="0">
            <wp:extent cx="4502785" cy="2747010"/>
            <wp:effectExtent l="0" t="0" r="0" b="0"/>
            <wp:docPr id="1043" name="Picture 3"/>
            <a:graphic xmlns:a="http://schemas.openxmlformats.org/drawingml/2006/main">
              <a:graphicData uri="http://schemas.openxmlformats.org/drawingml/2006/picture">
                <pic:pic xmlns:pic="http://schemas.openxmlformats.org/drawingml/2006/picture">
                  <pic:nvPicPr>
                    <pic:cNvPr id="1043" name="Picture 3"/>
                    <pic:cNvPicPr>
                      <a:picLocks noChangeAspect="1" noChangeArrowheads="1"/>
                    </pic:cNvPicPr>
                  </pic:nvPicPr>
                  <pic:blipFill>
                    <a:blip r:embed="rId16"/>
                    <a:stretch>
                      <a:fillRect/>
                    </a:stretch>
                  </pic:blipFill>
                  <pic:spPr>
                    <a:xfrm>
                      <a:off x="0" y="0"/>
                      <a:ext cx="4502785" cy="2747010"/>
                    </a:xfrm>
                    <a:prstGeom prst="rect">
                      <a:avLst/>
                    </a:prstGeom>
                    <a:noFill/>
                    <a:ln>
                      <a:noFill/>
                    </a:ln>
                  </pic:spPr>
                </pic:pic>
              </a:graphicData>
            </a:graphic>
          </wp:inline>
        </w:drawing>
      </w:r>
    </w:p>
    <w:p>
      <w:pPr>
        <w:pStyle w:val="0"/>
        <w:jc w:val="center"/>
        <w:rPr>
          <w:rFonts w:hint="default" w:ascii="HG丸ｺﾞｼｯｸM-PRO" w:hAnsi="HG丸ｺﾞｼｯｸM-PRO" w:eastAsia="HG丸ｺﾞｼｯｸM-PRO"/>
          <w:sz w:val="24"/>
        </w:rPr>
      </w:pPr>
    </w:p>
    <w:p>
      <w:pPr>
        <w:pStyle w:val="0"/>
        <w:jc w:val="center"/>
        <w:rPr>
          <w:rFonts w:hint="default" w:ascii="HG丸ｺﾞｼｯｸM-PRO" w:hAnsi="HG丸ｺﾞｼｯｸM-PRO" w:eastAsia="HG丸ｺﾞｼｯｸM-PRO"/>
          <w:sz w:val="24"/>
        </w:rPr>
      </w:pPr>
    </w:p>
    <w:p>
      <w:pPr>
        <w:pStyle w:val="0"/>
        <w:jc w:val="center"/>
        <w:rPr>
          <w:rFonts w:hint="default" w:ascii="HG丸ｺﾞｼｯｸM-PRO" w:hAnsi="HG丸ｺﾞｼｯｸM-PRO" w:eastAsia="HG丸ｺﾞｼｯｸM-PRO"/>
          <w:sz w:val="24"/>
        </w:rPr>
      </w:pPr>
    </w:p>
    <w:p>
      <w:pPr>
        <w:pStyle w:val="0"/>
        <w:jc w:val="left"/>
        <w:rPr>
          <w:rFonts w:hint="default" w:ascii="HG丸ｺﾞｼｯｸM-PRO" w:hAnsi="HG丸ｺﾞｼｯｸM-PRO" w:eastAsia="HG丸ｺﾞｼｯｸM-PRO"/>
          <w:sz w:val="24"/>
          <w:u w:val="single" w:color="auto"/>
        </w:rPr>
      </w:pPr>
      <w:r>
        <w:rPr>
          <w:rFonts w:hint="eastAsia" w:ascii="HG丸ｺﾞｼｯｸM-PRO" w:hAnsi="HG丸ｺﾞｼｯｸM-PRO" w:eastAsia="HG丸ｺﾞｼｯｸM-PRO"/>
          <w:sz w:val="24"/>
          <w:u w:val="single" w:color="auto"/>
        </w:rPr>
        <w:t>（３）産業構造</w:t>
      </w:r>
    </w:p>
    <w:p>
      <w:pPr>
        <w:pStyle w:val="0"/>
        <w:widowControl w:val="1"/>
        <w:jc w:val="left"/>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u w:val="single" w:color="auto"/>
        </w:rPr>
        <mc:AlternateContent>
          <mc:Choice Requires="wps">
            <w:drawing>
              <wp:anchor distT="0" distB="0" distL="114300" distR="114300" simplePos="0" relativeHeight="33" behindDoc="0" locked="0" layoutInCell="1" hidden="0" allowOverlap="1">
                <wp:simplePos x="0" y="0"/>
                <wp:positionH relativeFrom="column">
                  <wp:posOffset>1327785</wp:posOffset>
                </wp:positionH>
                <wp:positionV relativeFrom="paragraph">
                  <wp:posOffset>20955</wp:posOffset>
                </wp:positionV>
                <wp:extent cx="2886075" cy="279400"/>
                <wp:effectExtent l="0" t="0" r="635" b="635"/>
                <wp:wrapNone/>
                <wp:docPr id="1044" name="テキスト ボックス 20"/>
                <a:graphic xmlns:a="http://schemas.openxmlformats.org/drawingml/2006/main">
                  <a:graphicData uri="http://schemas.microsoft.com/office/word/2010/wordprocessingShape">
                    <wps:wsp>
                      <wps:cNvPr id="1044" name="テキスト ボックス 20"/>
                      <wps:cNvSpPr txBox="1"/>
                      <wps:spPr>
                        <a:xfrm>
                          <a:off x="0" y="0"/>
                          <a:ext cx="2886075" cy="279400"/>
                        </a:xfrm>
                        <a:prstGeom prst="rect">
                          <a:avLst/>
                        </a:prstGeom>
                        <a:noFill/>
                        <a:ln w="6350">
                          <a:noFill/>
                        </a:ln>
                        <a:effectLst/>
                      </wps:spPr>
                      <wps:txbx>
                        <w:txbxContent>
                          <w:p>
                            <w:pPr>
                              <w:pStyle w:val="0"/>
                              <w:snapToGrid w:val="0"/>
                              <w:jc w:val="center"/>
                              <w:rPr>
                                <w:rFonts w:hint="default" w:ascii="ＭＳ ゴシック" w:hAnsi="ＭＳ ゴシック" w:eastAsia="ＭＳ ゴシック"/>
                                <w:sz w:val="22"/>
                              </w:rPr>
                            </w:pPr>
                            <w:r>
                              <w:rPr>
                                <w:rFonts w:hint="eastAsia" w:ascii="ＭＳ ゴシック" w:hAnsi="ＭＳ ゴシック" w:eastAsia="ＭＳ ゴシック"/>
                                <w:sz w:val="22"/>
                              </w:rPr>
                              <w:t>産業別従業者の内訳（公務除く）</w:t>
                            </w:r>
                          </w:p>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0" style="mso-wrap-distance-right:9pt;mso-wrap-distance-bottom:0pt;margin-top:1.65pt;mso-position-vertical-relative:text;mso-position-horizontal-relative:text;v-text-anchor:top;position:absolute;height:22pt;mso-wrap-distance-top:0pt;width:227.25pt;mso-wrap-distance-left:9pt;margin-left:104.55pt;z-index:33;" o:spid="_x0000_s1044" o:allowincell="t" o:allowoverlap="t" filled="f" stroked="f" strokeweight="0.5pt" o:spt="202" type="#_x0000_t202">
                <v:fill/>
                <v:textbox style="layout-flow:horizontal;">
                  <w:txbxContent>
                    <w:p>
                      <w:pPr>
                        <w:pStyle w:val="0"/>
                        <w:snapToGrid w:val="0"/>
                        <w:jc w:val="center"/>
                        <w:rPr>
                          <w:rFonts w:hint="default" w:ascii="ＭＳ ゴシック" w:hAnsi="ＭＳ ゴシック" w:eastAsia="ＭＳ ゴシック"/>
                          <w:sz w:val="22"/>
                        </w:rPr>
                      </w:pPr>
                      <w:r>
                        <w:rPr>
                          <w:rFonts w:hint="eastAsia" w:ascii="ＭＳ ゴシック" w:hAnsi="ＭＳ ゴシック" w:eastAsia="ＭＳ ゴシック"/>
                          <w:sz w:val="22"/>
                        </w:rPr>
                        <w:t>産業別従業者の内訳（公務除く）</w:t>
                      </w:r>
                    </w:p>
                    <w:p>
                      <w:pPr>
                        <w:pStyle w:val="0"/>
                        <w:rPr>
                          <w:rFonts w:hint="default"/>
                        </w:rPr>
                      </w:pPr>
                    </w:p>
                  </w:txbxContent>
                </v:textbox>
                <v:imagedata o:title=""/>
                <w10:wrap type="none" anchorx="text" anchory="text"/>
              </v:shape>
            </w:pict>
          </mc:Fallback>
        </mc:AlternateContent>
      </w:r>
    </w:p>
    <w:p>
      <w:pPr>
        <w:pStyle w:val="0"/>
        <w:widowControl w:val="1"/>
        <w:jc w:val="center"/>
        <w:rPr>
          <w:rFonts w:hint="default" w:ascii="HG丸ｺﾞｼｯｸM-PRO" w:hAnsi="HG丸ｺﾞｼｯｸM-PRO" w:eastAsia="HG丸ｺﾞｼｯｸM-PRO"/>
          <w:sz w:val="24"/>
        </w:rPr>
      </w:pPr>
      <w:r>
        <w:rPr>
          <w:rFonts w:hint="eastAsia"/>
        </w:rPr>
        <mc:AlternateContent>
          <mc:Choice Requires="wps">
            <w:drawing>
              <wp:anchor distT="0" distB="0" distL="114300" distR="114300" simplePos="0" relativeHeight="34" behindDoc="0" locked="0" layoutInCell="1" hidden="0" allowOverlap="1">
                <wp:simplePos x="0" y="0"/>
                <wp:positionH relativeFrom="column">
                  <wp:posOffset>1513840</wp:posOffset>
                </wp:positionH>
                <wp:positionV relativeFrom="paragraph">
                  <wp:posOffset>1570355</wp:posOffset>
                </wp:positionV>
                <wp:extent cx="2886075" cy="279400"/>
                <wp:effectExtent l="0" t="0" r="635" b="635"/>
                <wp:wrapNone/>
                <wp:docPr id="1045" name="テキスト ボックス 21"/>
                <a:graphic xmlns:a="http://schemas.openxmlformats.org/drawingml/2006/main">
                  <a:graphicData uri="http://schemas.microsoft.com/office/word/2010/wordprocessingShape">
                    <wps:wsp>
                      <wps:cNvPr id="1045" name="テキスト ボックス 21"/>
                      <wps:cNvSpPr txBox="1"/>
                      <wps:spPr>
                        <a:xfrm>
                          <a:off x="0" y="0"/>
                          <a:ext cx="2886075" cy="279400"/>
                        </a:xfrm>
                        <a:prstGeom prst="rect">
                          <a:avLst/>
                        </a:prstGeom>
                        <a:noFill/>
                        <a:ln w="6350">
                          <a:noFill/>
                        </a:ln>
                        <a:effectLst/>
                      </wps:spPr>
                      <wps:txbx>
                        <w:txbxContent>
                          <w:p>
                            <w:pPr>
                              <w:pStyle w:val="0"/>
                              <w:snapToGrid w:val="0"/>
                              <w:jc w:val="center"/>
                              <w:rPr>
                                <w:rFonts w:hint="default" w:ascii="ＭＳ ゴシック" w:hAnsi="ＭＳ ゴシック" w:eastAsia="ＭＳ ゴシック"/>
                                <w:sz w:val="22"/>
                              </w:rPr>
                            </w:pPr>
                            <w:r>
                              <w:rPr>
                                <w:rFonts w:hint="eastAsia" w:ascii="ＭＳ ゴシック" w:hAnsi="ＭＳ ゴシック" w:eastAsia="ＭＳ ゴシック"/>
                                <w:sz w:val="22"/>
                              </w:rPr>
                              <w:t>事業者数・従業者数の推移</w:t>
                            </w:r>
                          </w:p>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1" style="mso-wrap-distance-right:9pt;mso-wrap-distance-bottom:0pt;margin-top:123.65pt;mso-position-vertical-relative:text;mso-position-horizontal-relative:text;v-text-anchor:top;position:absolute;height:22pt;mso-wrap-distance-top:0pt;width:227.25pt;mso-wrap-distance-left:9pt;margin-left:119.2pt;z-index:34;" o:spid="_x0000_s1045" o:allowincell="t" o:allowoverlap="t" filled="f" stroked="f" strokeweight="0.5pt" o:spt="202" type="#_x0000_t202">
                <v:fill/>
                <v:textbox style="layout-flow:horizontal;">
                  <w:txbxContent>
                    <w:p>
                      <w:pPr>
                        <w:pStyle w:val="0"/>
                        <w:snapToGrid w:val="0"/>
                        <w:jc w:val="center"/>
                        <w:rPr>
                          <w:rFonts w:hint="default" w:ascii="ＭＳ ゴシック" w:hAnsi="ＭＳ ゴシック" w:eastAsia="ＭＳ ゴシック"/>
                          <w:sz w:val="22"/>
                        </w:rPr>
                      </w:pPr>
                      <w:r>
                        <w:rPr>
                          <w:rFonts w:hint="eastAsia" w:ascii="ＭＳ ゴシック" w:hAnsi="ＭＳ ゴシック" w:eastAsia="ＭＳ ゴシック"/>
                          <w:sz w:val="22"/>
                        </w:rPr>
                        <w:t>事業者数・従業者数の推移</w:t>
                      </w:r>
                    </w:p>
                    <w:p>
                      <w:pPr>
                        <w:pStyle w:val="0"/>
                        <w:rPr>
                          <w:rFonts w:hint="default"/>
                        </w:rPr>
                      </w:pPr>
                    </w:p>
                  </w:txbxContent>
                </v:textbox>
                <v:imagedata o:title=""/>
                <w10:wrap type="none" anchorx="text" anchory="text"/>
              </v:shape>
            </w:pict>
          </mc:Fallback>
        </mc:AlternateContent>
      </w:r>
      <w:r>
        <w:rPr>
          <w:rFonts w:hint="default" w:ascii="HG丸ｺﾞｼｯｸM-PRO" w:hAnsi="HG丸ｺﾞｼｯｸM-PRO" w:eastAsia="HG丸ｺﾞｼｯｸM-PRO"/>
          <w:sz w:val="24"/>
        </w:rPr>
        <w:drawing>
          <wp:inline distT="0" distB="0" distL="0" distR="0">
            <wp:extent cx="5198110" cy="1383665"/>
            <wp:effectExtent l="0" t="0" r="0" b="0"/>
            <wp:docPr id="1046" name="Picture 3"/>
            <a:graphic xmlns:a="http://schemas.openxmlformats.org/drawingml/2006/main">
              <a:graphicData uri="http://schemas.openxmlformats.org/drawingml/2006/picture">
                <pic:pic xmlns:pic="http://schemas.openxmlformats.org/drawingml/2006/picture">
                  <pic:nvPicPr>
                    <pic:cNvPr id="1046" name="Picture 3"/>
                    <pic:cNvPicPr>
                      <a:picLocks noChangeAspect="1" noChangeArrowheads="1"/>
                    </pic:cNvPicPr>
                  </pic:nvPicPr>
                  <pic:blipFill>
                    <a:blip r:embed="rId17"/>
                    <a:stretch>
                      <a:fillRect/>
                    </a:stretch>
                  </pic:blipFill>
                  <pic:spPr>
                    <a:xfrm>
                      <a:off x="0" y="0"/>
                      <a:ext cx="5198110" cy="1383665"/>
                    </a:xfrm>
                    <a:prstGeom prst="rect">
                      <a:avLst/>
                    </a:prstGeom>
                    <a:noFill/>
                    <a:ln>
                      <a:noFill/>
                    </a:ln>
                  </pic:spPr>
                </pic:pic>
              </a:graphicData>
            </a:graphic>
          </wp:inline>
        </w:drawing>
      </w:r>
    </w:p>
    <w:p>
      <w:pPr>
        <w:pStyle w:val="0"/>
        <w:widowControl w:val="1"/>
        <w:jc w:val="left"/>
        <w:rPr>
          <w:rFonts w:hint="default" w:ascii="HG丸ｺﾞｼｯｸM-PRO" w:hAnsi="HG丸ｺﾞｼｯｸM-PRO" w:eastAsia="HG丸ｺﾞｼｯｸM-PRO"/>
          <w:sz w:val="24"/>
        </w:rPr>
      </w:pPr>
    </w:p>
    <w:p>
      <w:pPr>
        <w:pStyle w:val="0"/>
        <w:widowControl w:val="1"/>
        <w:jc w:val="center"/>
        <w:rPr>
          <w:rFonts w:hint="default" w:ascii="HG丸ｺﾞｼｯｸM-PRO" w:hAnsi="HG丸ｺﾞｼｯｸM-PRO" w:eastAsia="HG丸ｺﾞｼｯｸM-PRO"/>
          <w:sz w:val="24"/>
        </w:rPr>
      </w:pPr>
      <w:r>
        <w:rPr>
          <w:rFonts w:hint="eastAsia"/>
        </w:rPr>
        <w:drawing>
          <wp:inline distT="0" distB="0" distL="0" distR="0">
            <wp:extent cx="4609465" cy="2346325"/>
            <wp:effectExtent l="0" t="0" r="0" b="0"/>
            <wp:docPr id="1047" name="Picture 2"/>
            <a:graphic xmlns:a="http://schemas.openxmlformats.org/drawingml/2006/main">
              <a:graphicData uri="http://schemas.openxmlformats.org/drawingml/2006/picture">
                <pic:pic xmlns:pic="http://schemas.openxmlformats.org/drawingml/2006/picture">
                  <pic:nvPicPr>
                    <pic:cNvPr id="1047" name="Picture 2"/>
                    <pic:cNvPicPr>
                      <a:picLocks noChangeAspect="1" noChangeArrowheads="1"/>
                    </pic:cNvPicPr>
                  </pic:nvPicPr>
                  <pic:blipFill>
                    <a:blip r:embed="rId18"/>
                    <a:stretch>
                      <a:fillRect/>
                    </a:stretch>
                  </pic:blipFill>
                  <pic:spPr>
                    <a:xfrm>
                      <a:off x="0" y="0"/>
                      <a:ext cx="4609465" cy="2346325"/>
                    </a:xfrm>
                    <a:prstGeom prst="rect">
                      <a:avLst/>
                    </a:prstGeom>
                    <a:noFill/>
                    <a:ln>
                      <a:noFill/>
                    </a:ln>
                  </pic:spPr>
                </pic:pic>
              </a:graphicData>
            </a:graphic>
          </wp:inline>
        </w:drawing>
      </w:r>
      <w:r>
        <w:rPr>
          <w:rFonts w:hint="eastAsia"/>
        </w:rPr>
        <w:br w:type="page"/>
      </w:r>
    </w:p>
    <w:p>
      <w:pPr>
        <w:pStyle w:val="0"/>
        <w:rPr>
          <w:rFonts w:hint="default" w:ascii="HG丸ｺﾞｼｯｸM-PRO" w:hAnsi="HG丸ｺﾞｼｯｸM-PRO" w:eastAsia="HG丸ｺﾞｼｯｸM-PRO"/>
          <w:sz w:val="24"/>
          <w:u w:val="single" w:color="auto"/>
        </w:rPr>
      </w:pPr>
      <w:r>
        <w:rPr>
          <w:rFonts w:hint="eastAsia" w:ascii="HG丸ｺﾞｼｯｸM-PRO" w:hAnsi="HG丸ｺﾞｼｯｸM-PRO" w:eastAsia="HG丸ｺﾞｼｯｸM-PRO"/>
          <w:sz w:val="24"/>
          <w:u w:val="single" w:color="auto"/>
        </w:rPr>
        <w:t>（３）－１</w:t>
      </w:r>
      <w:r>
        <w:rPr>
          <w:rFonts w:hint="eastAsia" w:ascii="HG丸ｺﾞｼｯｸM-PRO" w:hAnsi="HG丸ｺﾞｼｯｸM-PRO" w:eastAsia="HG丸ｺﾞｼｯｸM-PRO"/>
          <w:sz w:val="24"/>
          <w:u w:val="single" w:color="auto"/>
        </w:rPr>
        <w:t xml:space="preserve"> </w:t>
      </w:r>
      <w:r>
        <w:rPr>
          <w:rFonts w:hint="eastAsia" w:ascii="HG丸ｺﾞｼｯｸM-PRO" w:hAnsi="HG丸ｺﾞｼｯｸM-PRO" w:eastAsia="HG丸ｺﾞｼｯｸM-PRO"/>
          <w:sz w:val="24"/>
          <w:u w:val="single" w:color="auto"/>
        </w:rPr>
        <w:t>農業</w:t>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u w:val="single" w:color="auto"/>
        </w:rPr>
        <mc:AlternateContent>
          <mc:Choice Requires="wps">
            <w:drawing>
              <wp:anchor distT="0" distB="0" distL="114300" distR="114300" simplePos="0" relativeHeight="25" behindDoc="0" locked="0" layoutInCell="1" hidden="0" allowOverlap="1">
                <wp:simplePos x="0" y="0"/>
                <wp:positionH relativeFrom="column">
                  <wp:posOffset>3462020</wp:posOffset>
                </wp:positionH>
                <wp:positionV relativeFrom="paragraph">
                  <wp:posOffset>142240</wp:posOffset>
                </wp:positionV>
                <wp:extent cx="2114550" cy="279400"/>
                <wp:effectExtent l="0" t="0" r="635" b="635"/>
                <wp:wrapNone/>
                <wp:docPr id="1048" name="テキスト ボックス 7"/>
                <a:graphic xmlns:a="http://schemas.openxmlformats.org/drawingml/2006/main">
                  <a:graphicData uri="http://schemas.microsoft.com/office/word/2010/wordprocessingShape">
                    <wps:wsp>
                      <wps:cNvPr id="1048" name="テキスト ボックス 7"/>
                      <wps:cNvSpPr txBox="1"/>
                      <wps:spPr>
                        <a:xfrm>
                          <a:off x="0" y="0"/>
                          <a:ext cx="2114550" cy="279400"/>
                        </a:xfrm>
                        <a:prstGeom prst="rect">
                          <a:avLst/>
                        </a:prstGeom>
                        <a:noFill/>
                        <a:ln w="6350">
                          <a:noFill/>
                        </a:ln>
                        <a:effectLst/>
                      </wps:spPr>
                      <wps:txbx>
                        <w:txbxContent>
                          <w:p>
                            <w:pPr>
                              <w:pStyle w:val="0"/>
                              <w:snapToGrid w:val="0"/>
                              <w:rPr>
                                <w:rFonts w:hint="default" w:ascii="ＭＳ ゴシック" w:hAnsi="ＭＳ ゴシック" w:eastAsia="ＭＳ ゴシック"/>
                                <w:sz w:val="22"/>
                              </w:rPr>
                            </w:pPr>
                            <w:r>
                              <w:rPr>
                                <w:rFonts w:hint="eastAsia" w:ascii="ＭＳ ゴシック" w:hAnsi="ＭＳ ゴシック" w:eastAsia="ＭＳ ゴシック"/>
                                <w:sz w:val="22"/>
                              </w:rPr>
                              <w:t>総農家数・経営耕地面積の推移</w:t>
                            </w:r>
                          </w:p>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7" style="mso-wrap-distance-right:9pt;mso-wrap-distance-bottom:0pt;margin-top:11.2pt;mso-position-vertical-relative:text;mso-position-horizontal-relative:text;v-text-anchor:top;position:absolute;height:22pt;mso-wrap-distance-top:0pt;width:166.5pt;mso-wrap-distance-left:9pt;margin-left:272.60000000000002pt;z-index:25;" o:spid="_x0000_s1048" o:allowincell="t" o:allowoverlap="t" filled="f" stroked="f" strokeweight="0.5pt" o:spt="202" type="#_x0000_t202">
                <v:fill/>
                <v:textbox style="layout-flow:horizontal;">
                  <w:txbxContent>
                    <w:p>
                      <w:pPr>
                        <w:pStyle w:val="0"/>
                        <w:snapToGrid w:val="0"/>
                        <w:rPr>
                          <w:rFonts w:hint="default" w:ascii="ＭＳ ゴシック" w:hAnsi="ＭＳ ゴシック" w:eastAsia="ＭＳ ゴシック"/>
                          <w:sz w:val="22"/>
                        </w:rPr>
                      </w:pPr>
                      <w:r>
                        <w:rPr>
                          <w:rFonts w:hint="eastAsia" w:ascii="ＭＳ ゴシック" w:hAnsi="ＭＳ ゴシック" w:eastAsia="ＭＳ ゴシック"/>
                          <w:sz w:val="22"/>
                        </w:rPr>
                        <w:t>総農家数・経営耕地面積の推移</w:t>
                      </w:r>
                    </w:p>
                    <w:p>
                      <w:pPr>
                        <w:pStyle w:val="0"/>
                        <w:rPr>
                          <w:rFonts w:hint="default"/>
                        </w:rPr>
                      </w:pPr>
                    </w:p>
                  </w:txbxContent>
                </v:textbox>
                <v:imagedata o:title=""/>
                <w10:wrap type="none" anchorx="text" anchory="text"/>
              </v:shape>
            </w:pict>
          </mc:Fallback>
        </mc:AlternateContent>
      </w:r>
      <w:r>
        <w:rPr>
          <w:rFonts w:hint="eastAsia" w:ascii="HG丸ｺﾞｼｯｸM-PRO" w:hAnsi="HG丸ｺﾞｼｯｸM-PRO" w:eastAsia="HG丸ｺﾞｼｯｸM-PRO"/>
          <w:sz w:val="24"/>
          <w:u w:val="single" w:color="auto"/>
        </w:rPr>
        <mc:AlternateContent>
          <mc:Choice Requires="wps">
            <w:drawing>
              <wp:anchor distT="0" distB="0" distL="114300" distR="114300" simplePos="0" relativeHeight="24" behindDoc="0" locked="0" layoutInCell="1" hidden="0" allowOverlap="1">
                <wp:simplePos x="0" y="0"/>
                <wp:positionH relativeFrom="column">
                  <wp:posOffset>137795</wp:posOffset>
                </wp:positionH>
                <wp:positionV relativeFrom="paragraph">
                  <wp:posOffset>116840</wp:posOffset>
                </wp:positionV>
                <wp:extent cx="2038350" cy="279400"/>
                <wp:effectExtent l="0" t="0" r="635" b="635"/>
                <wp:wrapNone/>
                <wp:docPr id="1049" name="テキスト ボックス 6"/>
                <a:graphic xmlns:a="http://schemas.openxmlformats.org/drawingml/2006/main">
                  <a:graphicData uri="http://schemas.microsoft.com/office/word/2010/wordprocessingShape">
                    <wps:wsp>
                      <wps:cNvPr id="1049" name="テキスト ボックス 6"/>
                      <wps:cNvSpPr txBox="1"/>
                      <wps:spPr>
                        <a:xfrm>
                          <a:off x="0" y="0"/>
                          <a:ext cx="2038350" cy="279400"/>
                        </a:xfrm>
                        <a:prstGeom prst="rect">
                          <a:avLst/>
                        </a:prstGeom>
                        <a:noFill/>
                        <a:ln w="6350">
                          <a:noFill/>
                        </a:ln>
                        <a:effectLst/>
                      </wps:spPr>
                      <wps:txbx>
                        <w:txbxContent>
                          <w:p>
                            <w:pPr>
                              <w:pStyle w:val="0"/>
                              <w:snapToGrid w:val="0"/>
                              <w:rPr>
                                <w:rFonts w:hint="default" w:ascii="ＭＳ ゴシック" w:hAnsi="ＭＳ ゴシック" w:eastAsia="ＭＳ ゴシック"/>
                                <w:sz w:val="22"/>
                              </w:rPr>
                            </w:pPr>
                            <w:r>
                              <w:rPr>
                                <w:rFonts w:hint="eastAsia" w:ascii="ＭＳ ゴシック" w:hAnsi="ＭＳ ゴシック" w:eastAsia="ＭＳ ゴシック"/>
                                <w:sz w:val="22"/>
                              </w:rPr>
                              <w:t>販売農家・自給的農家の内訳</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6" style="mso-wrap-distance-right:9pt;mso-wrap-distance-bottom:0pt;margin-top:9.19pt;mso-position-vertical-relative:text;mso-position-horizontal-relative:text;v-text-anchor:top;position:absolute;height:22pt;mso-wrap-distance-top:0pt;width:160.5pt;mso-wrap-distance-left:9pt;margin-left:10.85pt;z-index:24;" o:spid="_x0000_s1049" o:allowincell="t" o:allowoverlap="t" filled="f" stroked="f" strokeweight="0.5pt" o:spt="202" type="#_x0000_t202">
                <v:fill/>
                <v:textbox style="layout-flow:horizontal;">
                  <w:txbxContent>
                    <w:p>
                      <w:pPr>
                        <w:pStyle w:val="0"/>
                        <w:snapToGrid w:val="0"/>
                        <w:rPr>
                          <w:rFonts w:hint="default" w:ascii="ＭＳ ゴシック" w:hAnsi="ＭＳ ゴシック" w:eastAsia="ＭＳ ゴシック"/>
                          <w:sz w:val="22"/>
                        </w:rPr>
                      </w:pPr>
                      <w:r>
                        <w:rPr>
                          <w:rFonts w:hint="eastAsia" w:ascii="ＭＳ ゴシック" w:hAnsi="ＭＳ ゴシック" w:eastAsia="ＭＳ ゴシック"/>
                          <w:sz w:val="22"/>
                        </w:rPr>
                        <w:t>販売農家・自給的農家の内訳</w:t>
                      </w:r>
                    </w:p>
                  </w:txbxContent>
                </v:textbox>
                <v:imagedata o:title=""/>
                <w10:wrap type="none" anchorx="text" anchory="text"/>
              </v:shape>
            </w:pict>
          </mc:Fallback>
        </mc:AlternateContent>
      </w:r>
    </w:p>
    <w:p>
      <w:pPr>
        <w:pStyle w:val="0"/>
        <w:rPr>
          <w:rFonts w:hint="default" w:ascii="HG丸ｺﾞｼｯｸM-PRO" w:hAnsi="HG丸ｺﾞｼｯｸM-PRO" w:eastAsia="HG丸ｺﾞｼｯｸM-PRO"/>
          <w:sz w:val="24"/>
        </w:rPr>
      </w:pPr>
      <w:r>
        <w:rPr>
          <w:rFonts w:hint="eastAsia"/>
        </w:rPr>
        <mc:AlternateContent>
          <mc:Choice Requires="wpg">
            <w:drawing>
              <wp:anchor distT="0" distB="0" distL="114300" distR="114300" simplePos="0" relativeHeight="15" behindDoc="0" locked="0" layoutInCell="1" hidden="0" allowOverlap="1">
                <wp:simplePos x="0" y="0"/>
                <wp:positionH relativeFrom="column">
                  <wp:posOffset>-452755</wp:posOffset>
                </wp:positionH>
                <wp:positionV relativeFrom="paragraph">
                  <wp:posOffset>184785</wp:posOffset>
                </wp:positionV>
                <wp:extent cx="6705600" cy="2456815"/>
                <wp:effectExtent l="0" t="0" r="635" b="635"/>
                <wp:wrapNone/>
                <wp:docPr id="1050" name="オブジェクト 0"/>
                <a:graphic xmlns:a="http://schemas.openxmlformats.org/drawingml/2006/main">
                  <a:graphicData uri="http://schemas.microsoft.com/office/word/2010/wordprocessingGroup">
                    <wpg:wgp>
                      <wpg:cNvGrpSpPr/>
                      <wpg:grpSpPr>
                        <a:xfrm>
                          <a:off x="0" y="0"/>
                          <a:ext cx="6705600" cy="2456815"/>
                          <a:chOff x="-171450" y="0"/>
                          <a:chExt cx="6069824" cy="2173061"/>
                        </a:xfrm>
                      </wpg:grpSpPr>
                      <pic:pic xmlns:pic="http://schemas.openxmlformats.org/drawingml/2006/picture">
                        <pic:nvPicPr>
                          <pic:cNvPr id="1051" name="図 30"/>
                          <pic:cNvPicPr>
                            <a:picLocks noChangeAspect="1"/>
                          </pic:cNvPicPr>
                        </pic:nvPicPr>
                        <pic:blipFill>
                          <a:blip r:embed="rId19"/>
                          <a:stretch>
                            <a:fillRect/>
                          </a:stretch>
                        </pic:blipFill>
                        <pic:spPr>
                          <a:xfrm>
                            <a:off x="2657475" y="97847"/>
                            <a:ext cx="3154680" cy="1755140"/>
                          </a:xfrm>
                          <a:prstGeom prst="rect">
                            <a:avLst/>
                          </a:prstGeom>
                          <a:noFill/>
                          <a:ln>
                            <a:noFill/>
                          </a:ln>
                        </pic:spPr>
                      </pic:pic>
                      <pic:pic xmlns:pic="http://schemas.openxmlformats.org/drawingml/2006/picture">
                        <pic:nvPicPr>
                          <pic:cNvPr id="1052" name="図 31"/>
                          <pic:cNvPicPr>
                            <a:picLocks noChangeAspect="1"/>
                          </pic:cNvPicPr>
                        </pic:nvPicPr>
                        <pic:blipFill>
                          <a:blip r:embed="rId20"/>
                          <a:stretch>
                            <a:fillRect/>
                          </a:stretch>
                        </pic:blipFill>
                        <pic:spPr>
                          <a:xfrm>
                            <a:off x="-171450" y="0"/>
                            <a:ext cx="2655570" cy="2058035"/>
                          </a:xfrm>
                          <a:prstGeom prst="rect">
                            <a:avLst/>
                          </a:prstGeom>
                          <a:noFill/>
                          <a:ln>
                            <a:noFill/>
                          </a:ln>
                        </pic:spPr>
                      </pic:pic>
                      <wps:wsp>
                        <wps:cNvPr id="1053" name="テキスト ボックス 27"/>
                        <wps:cNvSpPr txBox="1">
                          <a:spLocks noChangeArrowheads="1"/>
                        </wps:cNvSpPr>
                        <wps:spPr>
                          <a:xfrm>
                            <a:off x="4427588" y="1953986"/>
                            <a:ext cx="1470898" cy="219047"/>
                          </a:xfrm>
                          <a:prstGeom prst="rect">
                            <a:avLst/>
                          </a:prstGeom>
                          <a:noFill/>
                          <a:ln>
                            <a:noFill/>
                          </a:ln>
                        </wps:spPr>
                        <wps:txbx>
                          <w:txbxContent>
                            <w:p>
                              <w:pPr>
                                <w:pStyle w:val="0"/>
                                <w:snapToGrid w:val="0"/>
                                <w:rPr>
                                  <w:rFonts w:hint="default" w:ascii="ＭＳ ゴシック" w:hAnsi="ＭＳ ゴシック" w:eastAsia="ＭＳ ゴシック"/>
                                  <w:sz w:val="18"/>
                                </w:rPr>
                              </w:pPr>
                            </w:p>
                          </w:txbxContent>
                        </wps:txbx>
                        <wps:bodyPr rot="0" vertOverflow="overflow" horzOverflow="overflow" wrap="square" lIns="74295" tIns="8890" rIns="74295" bIns="8890" anchor="t" anchorCtr="0" upright="1"/>
                      </wps:wsp>
                    </wpg:wgp>
                  </a:graphicData>
                </a:graphic>
              </wp:anchor>
            </w:drawing>
          </mc:Choice>
          <mc:Fallback>
            <w:pict>
              <v:group id="オブジェクト 0" style="mso-wrap-distance-right:9pt;mso-wrap-distance-bottom:0pt;margin-top:14.55pt;mso-position-vertical-relative:text;mso-position-horizontal-relative:text;position:absolute;height:193.45pt;mso-wrap-distance-top:0pt;width:528pt;mso-wrap-distance-left:9pt;margin-left:-35.65pt;z-index:15;" coordsize="6069824,2173061" coordorigin="-171450,0" o:spid="_x0000_s1050"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 style="height:1755140;width:3154680;top:97847;left:2657475;position:absolute;" o:spid="_x0000_s1051" filled="f" stroked="f" o:spt="75" type="#_x0000_t75">
                  <v:fill/>
                  <v:imagedata o:title="" r:id="rId19"/>
                  <w10:wrap type="none" anchorx="text" anchory="text"/>
                </v:shape>
                <v:shape id="図 31" style="height:2058035;width:2655570;top:0;left:-171450;position:absolute;" o:spid="_x0000_s1052" filled="f" stroked="f" o:spt="75" type="#_x0000_t75">
                  <v:fill/>
                  <v:imagedata o:title="" r:id="rId20"/>
                  <w10:wrap type="none" anchorx="text" anchory="text"/>
                </v:shape>
                <v:shapetype id="_x0000_t202" coordsize="21600,21600" o:spt="202" path="m,l,21600r21600,l21600,xe">
                  <v:stroke joinstyle="miter"/>
                  <v:path gradientshapeok="t" o:connecttype="rect"/>
                </v:shapetype>
                <v:shape id="テキスト ボックス 27" style="height:219047;width:1470898;top:1953986;left:4427588;position:absolute;" o:spid="_x0000_s1053" filled="f" stroked="f" o:spt="202" type="#_x0000_t202">
                  <v:fill/>
                  <v:textbox style="layout-flow:horizontal;" inset="2.0637499999999998mm,0.24694444444444438mm,2.0637499999999998mm,0.24694444444444438mm">
                    <w:txbxContent>
                      <w:p>
                        <w:pPr>
                          <w:pStyle w:val="0"/>
                          <w:snapToGrid w:val="0"/>
                          <w:rPr>
                            <w:rFonts w:hint="default" w:ascii="ＭＳ ゴシック" w:hAnsi="ＭＳ ゴシック" w:eastAsia="ＭＳ ゴシック"/>
                            <w:sz w:val="18"/>
                          </w:rPr>
                        </w:pPr>
                      </w:p>
                    </w:txbxContent>
                  </v:textbox>
                  <v:imagedata o:title=""/>
                  <w10:wrap type="none" anchorx="text" anchory="text"/>
                </v:shape>
                <w10:wrap type="none" anchorx="text" anchory="text"/>
              </v:group>
            </w:pict>
          </mc:Fallback>
        </mc:AlternateConten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u w:val="single" w:color="auto"/>
        </w:rPr>
      </w:pPr>
      <w:r>
        <w:rPr>
          <w:rFonts w:hint="eastAsia" w:ascii="HG丸ｺﾞｼｯｸM-PRO" w:hAnsi="HG丸ｺﾞｼｯｸM-PRO" w:eastAsia="HG丸ｺﾞｼｯｸM-PRO"/>
          <w:sz w:val="24"/>
          <w:u w:val="single" w:color="auto"/>
        </w:rPr>
        <w:t>（３）－２</w:t>
      </w:r>
      <w:r>
        <w:rPr>
          <w:rFonts w:hint="eastAsia" w:ascii="HG丸ｺﾞｼｯｸM-PRO" w:hAnsi="HG丸ｺﾞｼｯｸM-PRO" w:eastAsia="HG丸ｺﾞｼｯｸM-PRO"/>
          <w:sz w:val="24"/>
          <w:u w:val="single" w:color="auto"/>
        </w:rPr>
        <w:t xml:space="preserve"> </w:t>
      </w:r>
      <w:r>
        <w:rPr>
          <w:rFonts w:hint="eastAsia" w:ascii="HG丸ｺﾞｼｯｸM-PRO" w:hAnsi="HG丸ｺﾞｼｯｸM-PRO" w:eastAsia="HG丸ｺﾞｼｯｸM-PRO"/>
          <w:sz w:val="24"/>
          <w:u w:val="single" w:color="auto"/>
        </w:rPr>
        <w:t>工業</w:t>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u w:val="single" w:color="auto"/>
        </w:rPr>
        <mc:AlternateContent>
          <mc:Choice Requires="wps">
            <w:drawing>
              <wp:anchor distT="0" distB="0" distL="114300" distR="114300" simplePos="0" relativeHeight="28" behindDoc="0" locked="0" layoutInCell="1" hidden="0" allowOverlap="1">
                <wp:simplePos x="0" y="0"/>
                <wp:positionH relativeFrom="column">
                  <wp:posOffset>2599055</wp:posOffset>
                </wp:positionH>
                <wp:positionV relativeFrom="paragraph">
                  <wp:posOffset>111760</wp:posOffset>
                </wp:positionV>
                <wp:extent cx="3771900" cy="342900"/>
                <wp:effectExtent l="0" t="0" r="635" b="635"/>
                <wp:wrapNone/>
                <wp:docPr id="1054" name="テキスト ボックス 12"/>
                <a:graphic xmlns:a="http://schemas.openxmlformats.org/drawingml/2006/main">
                  <a:graphicData uri="http://schemas.microsoft.com/office/word/2010/wordprocessingShape">
                    <wps:wsp>
                      <wps:cNvPr id="1054" name="テキスト ボックス 12"/>
                      <wps:cNvSpPr txBox="1"/>
                      <wps:spPr>
                        <a:xfrm>
                          <a:off x="0" y="0"/>
                          <a:ext cx="3771900" cy="342900"/>
                        </a:xfrm>
                        <a:prstGeom prst="rect">
                          <a:avLst/>
                        </a:prstGeom>
                        <a:noFill/>
                        <a:ln w="6350">
                          <a:noFill/>
                        </a:ln>
                        <a:effectLst/>
                      </wps:spPr>
                      <wps:txbx>
                        <w:txbxContent>
                          <w:p>
                            <w:pPr>
                              <w:pStyle w:val="0"/>
                              <w:snapToGrid w:val="0"/>
                              <w:rPr>
                                <w:rFonts w:hint="default" w:asciiTheme="majorEastAsia" w:hAnsiTheme="majorEastAsia" w:eastAsiaTheme="majorEastAsia"/>
                                <w:sz w:val="22"/>
                              </w:rPr>
                            </w:pPr>
                            <w:r>
                              <w:rPr>
                                <w:rFonts w:hint="eastAsia" w:asciiTheme="majorEastAsia" w:hAnsiTheme="majorEastAsia" w:eastAsiaTheme="majorEastAsia"/>
                                <w:sz w:val="22"/>
                              </w:rPr>
                              <w:t>製造業関連の事業所数・従業者数・製造品出荷額等の推移</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2" style="mso-wrap-distance-right:9pt;mso-wrap-distance-bottom:0pt;margin-top:8.8000000000000007pt;mso-position-vertical-relative:text;mso-position-horizontal-relative:text;v-text-anchor:top;position:absolute;height:27pt;mso-wrap-distance-top:0pt;width:297pt;mso-wrap-distance-left:9pt;margin-left:204.65pt;z-index:28;" o:spid="_x0000_s1054" o:allowincell="t" o:allowoverlap="t" filled="f" stroked="f" strokeweight="0.5pt" o:spt="202" type="#_x0000_t202">
                <v:fill/>
                <v:textbox style="layout-flow:horizontal;">
                  <w:txbxContent>
                    <w:p>
                      <w:pPr>
                        <w:pStyle w:val="0"/>
                        <w:snapToGrid w:val="0"/>
                        <w:rPr>
                          <w:rFonts w:hint="default" w:asciiTheme="majorEastAsia" w:hAnsiTheme="majorEastAsia" w:eastAsiaTheme="majorEastAsia"/>
                          <w:sz w:val="22"/>
                        </w:rPr>
                      </w:pPr>
                      <w:r>
                        <w:rPr>
                          <w:rFonts w:hint="eastAsia" w:asciiTheme="majorEastAsia" w:hAnsiTheme="majorEastAsia" w:eastAsiaTheme="majorEastAsia"/>
                          <w:sz w:val="22"/>
                        </w:rPr>
                        <w:t>製造業関連の事業所数・従業者数・製造品出荷額等の推移</w:t>
                      </w:r>
                    </w:p>
                  </w:txbxContent>
                </v:textbox>
                <v:imagedata o:title=""/>
                <w10:wrap type="none" anchorx="text" anchory="text"/>
              </v:shape>
            </w:pict>
          </mc:Fallback>
        </mc:AlternateContent>
      </w:r>
      <w:r>
        <w:rPr>
          <w:rFonts w:hint="eastAsia" w:ascii="HG丸ｺﾞｼｯｸM-PRO" w:hAnsi="HG丸ｺﾞｼｯｸM-PRO" w:eastAsia="HG丸ｺﾞｼｯｸM-PRO"/>
          <w:sz w:val="24"/>
          <w:u w:val="single" w:color="auto"/>
        </w:rPr>
        <mc:AlternateContent>
          <mc:Choice Requires="wps">
            <w:drawing>
              <wp:anchor distT="0" distB="0" distL="114300" distR="114300" simplePos="0" relativeHeight="27" behindDoc="0" locked="0" layoutInCell="1" hidden="0" allowOverlap="1">
                <wp:simplePos x="0" y="0"/>
                <wp:positionH relativeFrom="column">
                  <wp:posOffset>-95885</wp:posOffset>
                </wp:positionH>
                <wp:positionV relativeFrom="paragraph">
                  <wp:posOffset>116840</wp:posOffset>
                </wp:positionV>
                <wp:extent cx="2038350" cy="279400"/>
                <wp:effectExtent l="0" t="0" r="635" b="635"/>
                <wp:wrapNone/>
                <wp:docPr id="1055" name="テキスト ボックス 13"/>
                <a:graphic xmlns:a="http://schemas.openxmlformats.org/drawingml/2006/main">
                  <a:graphicData uri="http://schemas.microsoft.com/office/word/2010/wordprocessingShape">
                    <wps:wsp>
                      <wps:cNvPr id="1055" name="テキスト ボックス 13"/>
                      <wps:cNvSpPr txBox="1"/>
                      <wps:spPr>
                        <a:xfrm>
                          <a:off x="0" y="0"/>
                          <a:ext cx="2038350" cy="279400"/>
                        </a:xfrm>
                        <a:prstGeom prst="rect">
                          <a:avLst/>
                        </a:prstGeom>
                        <a:noFill/>
                        <a:ln w="6350">
                          <a:noFill/>
                        </a:ln>
                        <a:effectLst/>
                      </wps:spPr>
                      <wps:txbx>
                        <w:txbxContent>
                          <w:p>
                            <w:pPr>
                              <w:pStyle w:val="0"/>
                              <w:snapToGrid w:val="0"/>
                              <w:rPr>
                                <w:rFonts w:hint="default" w:asciiTheme="majorEastAsia" w:hAnsiTheme="majorEastAsia" w:eastAsiaTheme="majorEastAsia"/>
                                <w:sz w:val="22"/>
                              </w:rPr>
                            </w:pPr>
                            <w:r>
                              <w:rPr>
                                <w:rFonts w:hint="eastAsia" w:asciiTheme="majorEastAsia" w:hAnsiTheme="majorEastAsia" w:eastAsiaTheme="majorEastAsia"/>
                                <w:sz w:val="22"/>
                              </w:rPr>
                              <w:t>製造品出荷額等の業種別内訳</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3" style="mso-wrap-distance-right:9pt;mso-wrap-distance-bottom:0pt;margin-top:9.19pt;mso-position-vertical-relative:text;mso-position-horizontal-relative:text;v-text-anchor:top;position:absolute;height:22pt;mso-wrap-distance-top:0pt;width:160.5pt;mso-wrap-distance-left:9pt;margin-left:-7.55pt;z-index:27;" o:spid="_x0000_s1055" o:allowincell="t" o:allowoverlap="t" filled="f" stroked="f" strokeweight="0.5pt" o:spt="202" type="#_x0000_t202">
                <v:fill/>
                <v:textbox style="layout-flow:horizontal;">
                  <w:txbxContent>
                    <w:p>
                      <w:pPr>
                        <w:pStyle w:val="0"/>
                        <w:snapToGrid w:val="0"/>
                        <w:rPr>
                          <w:rFonts w:hint="default" w:asciiTheme="majorEastAsia" w:hAnsiTheme="majorEastAsia" w:eastAsiaTheme="majorEastAsia"/>
                          <w:sz w:val="22"/>
                        </w:rPr>
                      </w:pPr>
                      <w:r>
                        <w:rPr>
                          <w:rFonts w:hint="eastAsia" w:asciiTheme="majorEastAsia" w:hAnsiTheme="majorEastAsia" w:eastAsiaTheme="majorEastAsia"/>
                          <w:sz w:val="22"/>
                        </w:rPr>
                        <w:t>製造品出荷額等の業種別内訳</w:t>
                      </w:r>
                    </w:p>
                  </w:txbxContent>
                </v:textbox>
                <v:imagedata o:title=""/>
                <w10:wrap type="none" anchorx="text" anchory="text"/>
              </v:shape>
            </w:pict>
          </mc:Fallback>
        </mc:AlternateConten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widowControl w:val="1"/>
        <w:jc w:val="left"/>
        <w:rPr>
          <w:rFonts w:hint="default" w:ascii="HG丸ｺﾞｼｯｸM-PRO" w:hAnsi="HG丸ｺﾞｼｯｸM-PRO" w:eastAsia="HG丸ｺﾞｼｯｸM-PRO"/>
          <w:sz w:val="24"/>
        </w:rPr>
      </w:pPr>
      <w:r>
        <w:rPr>
          <w:rFonts w:hint="eastAsia"/>
        </w:rPr>
        <w:drawing>
          <wp:anchor distT="0" distB="0" distL="203200" distR="203200" simplePos="0" relativeHeight="76" behindDoc="0" locked="0" layoutInCell="1" hidden="0" allowOverlap="1">
            <wp:simplePos x="0" y="0"/>
            <wp:positionH relativeFrom="column">
              <wp:posOffset>-504190</wp:posOffset>
            </wp:positionH>
            <wp:positionV relativeFrom="paragraph">
              <wp:posOffset>114300</wp:posOffset>
            </wp:positionV>
            <wp:extent cx="3935095" cy="2171700"/>
            <wp:effectExtent l="0" t="0" r="0" b="0"/>
            <wp:wrapNone/>
            <wp:docPr id="1056" name="オブジェクト 0"/>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21"/>
                    <a:stretch>
                      <a:fillRect/>
                    </a:stretch>
                  </pic:blipFill>
                  <pic:spPr>
                    <a:xfrm>
                      <a:off x="0" y="0"/>
                      <a:ext cx="3935095" cy="2171700"/>
                    </a:xfrm>
                    <a:prstGeom prst="rect">
                      <a:avLst/>
                    </a:prstGeom>
                  </pic:spPr>
                </pic:pic>
              </a:graphicData>
            </a:graphic>
          </wp:anchor>
        </w:drawing>
      </w:r>
      <w:r>
        <w:rPr>
          <w:rFonts w:hint="eastAsia"/>
        </w:rPr>
        <w:drawing>
          <wp:anchor distT="0" distB="0" distL="203200" distR="203200" simplePos="0" relativeHeight="75" behindDoc="0" locked="0" layoutInCell="1" hidden="0" allowOverlap="1">
            <wp:simplePos x="0" y="0"/>
            <wp:positionH relativeFrom="column">
              <wp:posOffset>3430905</wp:posOffset>
            </wp:positionH>
            <wp:positionV relativeFrom="paragraph">
              <wp:posOffset>57150</wp:posOffset>
            </wp:positionV>
            <wp:extent cx="3014980" cy="2457450"/>
            <wp:effectExtent l="0" t="0" r="0" b="0"/>
            <wp:wrapNone/>
            <wp:docPr id="1057" name="オブジェクト 0"/>
            <a:graphic xmlns:a="http://schemas.openxmlformats.org/drawingml/2006/main">
              <a:graphicData uri="http://schemas.openxmlformats.org/drawingml/2006/picture">
                <pic:pic xmlns:pic="http://schemas.openxmlformats.org/drawingml/2006/picture">
                  <pic:nvPicPr>
                    <pic:cNvPr id="1057" name="オブジェクト 0"/>
                    <pic:cNvPicPr>
                      <a:picLocks noChangeAspect="1"/>
                    </pic:cNvPicPr>
                  </pic:nvPicPr>
                  <pic:blipFill>
                    <a:blip r:embed="rId22"/>
                    <a:stretch>
                      <a:fillRect/>
                    </a:stretch>
                  </pic:blipFill>
                  <pic:spPr>
                    <a:xfrm>
                      <a:off x="0" y="0"/>
                      <a:ext cx="3014980" cy="2457450"/>
                    </a:xfrm>
                    <a:prstGeom prst="rect">
                      <a:avLst/>
                    </a:prstGeom>
                  </pic:spPr>
                </pic:pic>
              </a:graphicData>
            </a:graphic>
          </wp:anchor>
        </w:drawing>
      </w:r>
      <w:r>
        <w:rPr>
          <w:rFonts w:hint="default" w:ascii="HG丸ｺﾞｼｯｸM-PRO" w:hAnsi="HG丸ｺﾞｼｯｸM-PRO" w:eastAsia="HG丸ｺﾞｼｯｸM-PRO"/>
          <w:sz w:val="24"/>
        </w:rPr>
        <w:br w:type="page"/>
      </w:r>
    </w:p>
    <w:p>
      <w:pPr>
        <w:pStyle w:val="0"/>
        <w:rPr>
          <w:rFonts w:hint="default" w:ascii="HG丸ｺﾞｼｯｸM-PRO" w:hAnsi="HG丸ｺﾞｼｯｸM-PRO" w:eastAsia="HG丸ｺﾞｼｯｸM-PRO"/>
          <w:sz w:val="24"/>
          <w:u w:val="single" w:color="auto"/>
        </w:rPr>
      </w:pPr>
      <w:r>
        <w:rPr>
          <w:rFonts w:hint="eastAsia" w:ascii="HG丸ｺﾞｼｯｸM-PRO" w:hAnsi="HG丸ｺﾞｼｯｸM-PRO" w:eastAsia="HG丸ｺﾞｼｯｸM-PRO"/>
          <w:sz w:val="24"/>
          <w:u w:val="single" w:color="auto"/>
        </w:rPr>
        <w:t>（３）－３</w:t>
      </w:r>
      <w:r>
        <w:rPr>
          <w:rFonts w:hint="eastAsia" w:ascii="HG丸ｺﾞｼｯｸM-PRO" w:hAnsi="HG丸ｺﾞｼｯｸM-PRO" w:eastAsia="HG丸ｺﾞｼｯｸM-PRO"/>
          <w:sz w:val="24"/>
          <w:u w:val="single" w:color="auto"/>
        </w:rPr>
        <w:t xml:space="preserve"> </w:t>
      </w:r>
      <w:r>
        <w:rPr>
          <w:rFonts w:hint="eastAsia" w:ascii="HG丸ｺﾞｼｯｸM-PRO" w:hAnsi="HG丸ｺﾞｼｯｸM-PRO" w:eastAsia="HG丸ｺﾞｼｯｸM-PRO"/>
          <w:sz w:val="24"/>
          <w:u w:val="single" w:color="auto"/>
        </w:rPr>
        <w:t>商業</w:t>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u w:val="single" w:color="auto"/>
        </w:rPr>
        <mc:AlternateContent>
          <mc:Choice Requires="wps">
            <w:drawing>
              <wp:anchor distT="0" distB="0" distL="114300" distR="114300" simplePos="0" relativeHeight="30" behindDoc="0" locked="0" layoutInCell="1" hidden="0" allowOverlap="1">
                <wp:simplePos x="0" y="0"/>
                <wp:positionH relativeFrom="column">
                  <wp:posOffset>2642870</wp:posOffset>
                </wp:positionH>
                <wp:positionV relativeFrom="paragraph">
                  <wp:posOffset>175260</wp:posOffset>
                </wp:positionV>
                <wp:extent cx="3499485" cy="279400"/>
                <wp:effectExtent l="0" t="0" r="635" b="635"/>
                <wp:wrapNone/>
                <wp:docPr id="1058" name="テキスト ボックス 14"/>
                <a:graphic xmlns:a="http://schemas.openxmlformats.org/drawingml/2006/main">
                  <a:graphicData uri="http://schemas.microsoft.com/office/word/2010/wordprocessingShape">
                    <wps:wsp>
                      <wps:cNvPr id="1058" name="テキスト ボックス 14"/>
                      <wps:cNvSpPr txBox="1"/>
                      <wps:spPr>
                        <a:xfrm>
                          <a:off x="0" y="0"/>
                          <a:ext cx="3499485" cy="279400"/>
                        </a:xfrm>
                        <a:prstGeom prst="rect">
                          <a:avLst/>
                        </a:prstGeom>
                        <a:noFill/>
                        <a:ln w="6350">
                          <a:noFill/>
                        </a:ln>
                        <a:effectLst/>
                      </wps:spPr>
                      <wps:txbx>
                        <w:txbxContent>
                          <w:p>
                            <w:pPr>
                              <w:pStyle w:val="0"/>
                              <w:snapToGrid w:val="0"/>
                              <w:rPr>
                                <w:rFonts w:hint="default"/>
                                <w:sz w:val="22"/>
                              </w:rPr>
                            </w:pPr>
                            <w:r>
                              <w:rPr>
                                <w:rFonts w:hint="eastAsia" w:ascii="ＭＳ ゴシック" w:hAnsi="ＭＳ ゴシック" w:eastAsia="ＭＳ ゴシック"/>
                                <w:sz w:val="22"/>
                              </w:rPr>
                              <w:t>小売業に</w:t>
                            </w:r>
                            <w:r>
                              <w:rPr>
                                <w:rFonts w:hint="default" w:ascii="ＭＳ ゴシック" w:hAnsi="ＭＳ ゴシック" w:eastAsia="ＭＳ ゴシック"/>
                                <w:sz w:val="22"/>
                              </w:rPr>
                              <w:t>おける商店数・従業</w:t>
                            </w:r>
                            <w:r>
                              <w:rPr>
                                <w:rFonts w:hint="eastAsia" w:ascii="ＭＳ ゴシック" w:hAnsi="ＭＳ ゴシック" w:eastAsia="ＭＳ ゴシック"/>
                                <w:sz w:val="22"/>
                              </w:rPr>
                              <w:t>者</w:t>
                            </w:r>
                            <w:r>
                              <w:rPr>
                                <w:rFonts w:hint="default" w:ascii="ＭＳ ゴシック" w:hAnsi="ＭＳ ゴシック" w:eastAsia="ＭＳ ゴシック"/>
                                <w:sz w:val="22"/>
                              </w:rPr>
                              <w:t>数・</w:t>
                            </w:r>
                            <w:r>
                              <w:rPr>
                                <w:rFonts w:hint="eastAsia" w:ascii="ＭＳ ゴシック" w:hAnsi="ＭＳ ゴシック" w:eastAsia="ＭＳ ゴシック"/>
                                <w:sz w:val="22"/>
                              </w:rPr>
                              <w:t>売場面積</w:t>
                            </w:r>
                            <w:r>
                              <w:rPr>
                                <w:rFonts w:hint="default" w:ascii="ＭＳ ゴシック" w:hAnsi="ＭＳ ゴシック" w:eastAsia="ＭＳ ゴシック"/>
                                <w:sz w:val="22"/>
                              </w:rPr>
                              <w:t>の推移</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4" style="mso-wrap-distance-right:9pt;mso-wrap-distance-bottom:0pt;margin-top:13.8pt;mso-position-vertical-relative:text;mso-position-horizontal-relative:text;v-text-anchor:top;position:absolute;height:22pt;mso-wrap-distance-top:0pt;width:275.55pt;mso-wrap-distance-left:9pt;margin-left:208.1pt;z-index:30;" o:spid="_x0000_s1058" o:allowincell="t" o:allowoverlap="t" filled="f" stroked="f" strokeweight="0.5pt" o:spt="202" type="#_x0000_t202">
                <v:fill/>
                <v:textbox style="layout-flow:horizontal;">
                  <w:txbxContent>
                    <w:p>
                      <w:pPr>
                        <w:pStyle w:val="0"/>
                        <w:snapToGrid w:val="0"/>
                        <w:rPr>
                          <w:rFonts w:hint="default"/>
                          <w:sz w:val="22"/>
                        </w:rPr>
                      </w:pPr>
                      <w:r>
                        <w:rPr>
                          <w:rFonts w:hint="eastAsia" w:ascii="ＭＳ ゴシック" w:hAnsi="ＭＳ ゴシック" w:eastAsia="ＭＳ ゴシック"/>
                          <w:sz w:val="22"/>
                        </w:rPr>
                        <w:t>小売業に</w:t>
                      </w:r>
                      <w:r>
                        <w:rPr>
                          <w:rFonts w:hint="default" w:ascii="ＭＳ ゴシック" w:hAnsi="ＭＳ ゴシック" w:eastAsia="ＭＳ ゴシック"/>
                          <w:sz w:val="22"/>
                        </w:rPr>
                        <w:t>おける商店数・従業</w:t>
                      </w:r>
                      <w:r>
                        <w:rPr>
                          <w:rFonts w:hint="eastAsia" w:ascii="ＭＳ ゴシック" w:hAnsi="ＭＳ ゴシック" w:eastAsia="ＭＳ ゴシック"/>
                          <w:sz w:val="22"/>
                        </w:rPr>
                        <w:t>者</w:t>
                      </w:r>
                      <w:r>
                        <w:rPr>
                          <w:rFonts w:hint="default" w:ascii="ＭＳ ゴシック" w:hAnsi="ＭＳ ゴシック" w:eastAsia="ＭＳ ゴシック"/>
                          <w:sz w:val="22"/>
                        </w:rPr>
                        <w:t>数・</w:t>
                      </w:r>
                      <w:r>
                        <w:rPr>
                          <w:rFonts w:hint="eastAsia" w:ascii="ＭＳ ゴシック" w:hAnsi="ＭＳ ゴシック" w:eastAsia="ＭＳ ゴシック"/>
                          <w:sz w:val="22"/>
                        </w:rPr>
                        <w:t>売場面積</w:t>
                      </w:r>
                      <w:r>
                        <w:rPr>
                          <w:rFonts w:hint="default" w:ascii="ＭＳ ゴシック" w:hAnsi="ＭＳ ゴシック" w:eastAsia="ＭＳ ゴシック"/>
                          <w:sz w:val="22"/>
                        </w:rPr>
                        <w:t>の推移</w:t>
                      </w:r>
                    </w:p>
                  </w:txbxContent>
                </v:textbox>
                <v:imagedata o:title=""/>
                <w10:wrap type="none" anchorx="text" anchory="text"/>
              </v:shape>
            </w:pict>
          </mc:Fallback>
        </mc:AlternateContent>
      </w:r>
      <w:r>
        <w:rPr>
          <w:rFonts w:hint="eastAsia" w:ascii="HG丸ｺﾞｼｯｸM-PRO" w:hAnsi="HG丸ｺﾞｼｯｸM-PRO" w:eastAsia="HG丸ｺﾞｼｯｸM-PRO"/>
          <w:sz w:val="24"/>
          <w:u w:val="single" w:color="auto"/>
        </w:rPr>
        <mc:AlternateContent>
          <mc:Choice Requires="wps">
            <w:drawing>
              <wp:anchor distT="0" distB="0" distL="114300" distR="114300" simplePos="0" relativeHeight="29" behindDoc="0" locked="0" layoutInCell="1" hidden="0" allowOverlap="1">
                <wp:simplePos x="0" y="0"/>
                <wp:positionH relativeFrom="column">
                  <wp:posOffset>85090</wp:posOffset>
                </wp:positionH>
                <wp:positionV relativeFrom="paragraph">
                  <wp:posOffset>178435</wp:posOffset>
                </wp:positionV>
                <wp:extent cx="1638300" cy="279400"/>
                <wp:effectExtent l="0" t="0" r="635" b="635"/>
                <wp:wrapNone/>
                <wp:docPr id="1059" name="テキスト ボックス 15"/>
                <a:graphic xmlns:a="http://schemas.openxmlformats.org/drawingml/2006/main">
                  <a:graphicData uri="http://schemas.microsoft.com/office/word/2010/wordprocessingShape">
                    <wps:wsp>
                      <wps:cNvPr id="1059" name="テキスト ボックス 15"/>
                      <wps:cNvSpPr txBox="1"/>
                      <wps:spPr>
                        <a:xfrm>
                          <a:off x="0" y="0"/>
                          <a:ext cx="1638300" cy="279400"/>
                        </a:xfrm>
                        <a:prstGeom prst="rect">
                          <a:avLst/>
                        </a:prstGeom>
                        <a:noFill/>
                        <a:ln w="6350">
                          <a:noFill/>
                        </a:ln>
                        <a:effectLst/>
                      </wps:spPr>
                      <wps:txbx>
                        <w:txbxContent>
                          <w:p>
                            <w:pPr>
                              <w:pStyle w:val="0"/>
                              <w:snapToGrid w:val="0"/>
                              <w:rPr>
                                <w:rFonts w:hint="default"/>
                                <w:sz w:val="22"/>
                              </w:rPr>
                            </w:pPr>
                            <w:r>
                              <w:rPr>
                                <w:rFonts w:hint="eastAsia" w:ascii="ＭＳ ゴシック" w:hAnsi="ＭＳ ゴシック" w:eastAsia="ＭＳ ゴシック"/>
                                <w:sz w:val="22"/>
                              </w:rPr>
                              <w:t>卸売</w:t>
                            </w:r>
                            <w:r>
                              <w:rPr>
                                <w:rFonts w:hint="default" w:ascii="ＭＳ ゴシック" w:hAnsi="ＭＳ ゴシック" w:eastAsia="ＭＳ ゴシック"/>
                                <w:sz w:val="22"/>
                              </w:rPr>
                              <w:t>業・</w:t>
                            </w:r>
                            <w:r>
                              <w:rPr>
                                <w:rFonts w:hint="eastAsia" w:ascii="ＭＳ ゴシック" w:hAnsi="ＭＳ ゴシック" w:eastAsia="ＭＳ ゴシック"/>
                                <w:sz w:val="22"/>
                              </w:rPr>
                              <w:t>小売業</w:t>
                            </w:r>
                            <w:r>
                              <w:rPr>
                                <w:rFonts w:hint="default" w:ascii="ＭＳ ゴシック" w:hAnsi="ＭＳ ゴシック" w:eastAsia="ＭＳ ゴシック"/>
                                <w:sz w:val="22"/>
                              </w:rPr>
                              <w:t>の</w:t>
                            </w:r>
                            <w:r>
                              <w:rPr>
                                <w:rFonts w:hint="eastAsia" w:ascii="ＭＳ ゴシック" w:hAnsi="ＭＳ ゴシック" w:eastAsia="ＭＳ ゴシック"/>
                                <w:sz w:val="22"/>
                              </w:rPr>
                              <w:t>内訳</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 style="mso-wrap-distance-right:9pt;mso-wrap-distance-bottom:0pt;margin-top:14.05pt;mso-position-vertical-relative:text;mso-position-horizontal-relative:text;v-text-anchor:top;position:absolute;height:22pt;mso-wrap-distance-top:0pt;width:129pt;mso-wrap-distance-left:9pt;margin-left:6.7pt;z-index:29;" o:spid="_x0000_s1059" o:allowincell="t" o:allowoverlap="t" filled="f" stroked="f" strokeweight="0.5pt" o:spt="202" type="#_x0000_t202">
                <v:fill/>
                <v:textbox style="layout-flow:horizontal;">
                  <w:txbxContent>
                    <w:p>
                      <w:pPr>
                        <w:pStyle w:val="0"/>
                        <w:snapToGrid w:val="0"/>
                        <w:rPr>
                          <w:rFonts w:hint="default"/>
                          <w:sz w:val="22"/>
                        </w:rPr>
                      </w:pPr>
                      <w:r>
                        <w:rPr>
                          <w:rFonts w:hint="eastAsia" w:ascii="ＭＳ ゴシック" w:hAnsi="ＭＳ ゴシック" w:eastAsia="ＭＳ ゴシック"/>
                          <w:sz w:val="22"/>
                        </w:rPr>
                        <w:t>卸売</w:t>
                      </w:r>
                      <w:r>
                        <w:rPr>
                          <w:rFonts w:hint="default" w:ascii="ＭＳ ゴシック" w:hAnsi="ＭＳ ゴシック" w:eastAsia="ＭＳ ゴシック"/>
                          <w:sz w:val="22"/>
                        </w:rPr>
                        <w:t>業・</w:t>
                      </w:r>
                      <w:r>
                        <w:rPr>
                          <w:rFonts w:hint="eastAsia" w:ascii="ＭＳ ゴシック" w:hAnsi="ＭＳ ゴシック" w:eastAsia="ＭＳ ゴシック"/>
                          <w:sz w:val="22"/>
                        </w:rPr>
                        <w:t>小売業</w:t>
                      </w:r>
                      <w:r>
                        <w:rPr>
                          <w:rFonts w:hint="default" w:ascii="ＭＳ ゴシック" w:hAnsi="ＭＳ ゴシック" w:eastAsia="ＭＳ ゴシック"/>
                          <w:sz w:val="22"/>
                        </w:rPr>
                        <w:t>の</w:t>
                      </w:r>
                      <w:r>
                        <w:rPr>
                          <w:rFonts w:hint="eastAsia" w:ascii="ＭＳ ゴシック" w:hAnsi="ＭＳ ゴシック" w:eastAsia="ＭＳ ゴシック"/>
                          <w:sz w:val="22"/>
                        </w:rPr>
                        <w:t>内訳</w:t>
                      </w:r>
                    </w:p>
                  </w:txbxContent>
                </v:textbox>
                <v:imagedata o:title=""/>
                <w10:wrap type="none" anchorx="text" anchory="text"/>
              </v:shape>
            </w:pict>
          </mc:Fallback>
        </mc:AlternateContent>
      </w:r>
    </w:p>
    <w:p>
      <w:pPr>
        <w:pStyle w:val="0"/>
        <w:rPr>
          <w:rFonts w:hint="default" w:ascii="HG丸ｺﾞｼｯｸM-PRO" w:hAnsi="HG丸ｺﾞｼｯｸM-PRO" w:eastAsia="HG丸ｺﾞｼｯｸM-PRO"/>
          <w:sz w:val="24"/>
        </w:rPr>
      </w:pPr>
      <w:r>
        <w:rPr>
          <w:rFonts w:hint="eastAsia"/>
        </w:rPr>
        <w:drawing>
          <wp:anchor simplePos="0" relativeHeight="47" behindDoc="0" locked="0" layoutInCell="1" hidden="0" allowOverlap="1">
            <wp:simplePos x="0" y="0"/>
            <wp:positionH relativeFrom="page">
              <wp:posOffset>414655</wp:posOffset>
            </wp:positionH>
            <wp:positionV relativeFrom="page">
              <wp:posOffset>1362075</wp:posOffset>
            </wp:positionV>
            <wp:extent cx="2847975" cy="2322830"/>
            <wp:effectExtent l="0" t="0" r="0" b="0"/>
            <wp:wrapNone/>
            <wp:docPr id="1060" name="オブジェクト 0"/>
            <a:graphic xmlns:a="http://schemas.openxmlformats.org/drawingml/2006/main">
              <a:graphicData uri="http://schemas.openxmlformats.org/drawingml/2006/chart">
                <c:chart xmlns:c="http://schemas.openxmlformats.org/drawingml/2006/chart" r:id="rId23"/>
              </a:graphicData>
            </a:graphic>
          </wp:anchor>
        </w:drawing>
      </w:r>
    </w:p>
    <w:p>
      <w:pPr>
        <w:pStyle w:val="0"/>
        <w:rPr>
          <w:rFonts w:hint="default" w:ascii="HG丸ｺﾞｼｯｸM-PRO" w:hAnsi="HG丸ｺﾞｼｯｸM-PRO" w:eastAsia="HG丸ｺﾞｼｯｸM-PRO"/>
          <w:sz w:val="24"/>
        </w:rPr>
      </w:pPr>
      <w:r>
        <w:rPr>
          <w:rFonts w:hint="eastAsia"/>
        </w:rPr>
        <w:drawing>
          <wp:anchor simplePos="0" relativeHeight="46" behindDoc="0" locked="0" layoutInCell="1" hidden="0" allowOverlap="1">
            <wp:simplePos x="0" y="0"/>
            <wp:positionH relativeFrom="page">
              <wp:posOffset>3249930</wp:posOffset>
            </wp:positionH>
            <wp:positionV relativeFrom="page">
              <wp:posOffset>1472565</wp:posOffset>
            </wp:positionV>
            <wp:extent cx="3792855" cy="2172970"/>
            <wp:effectExtent l="0" t="0" r="0" b="0"/>
            <wp:wrapNone/>
            <wp:docPr id="1061" name="オブジェクト 0"/>
            <a:graphic xmlns:a="http://schemas.openxmlformats.org/drawingml/2006/main">
              <a:graphicData uri="http://schemas.openxmlformats.org/drawingml/2006/chart">
                <c:chart xmlns:c="http://schemas.openxmlformats.org/drawingml/2006/chart" r:id="rId24"/>
              </a:graphicData>
            </a:graphic>
          </wp:anchor>
        </w:drawing>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u w:val="single" w:color="auto"/>
        </w:rPr>
      </w:pPr>
      <w:r>
        <w:rPr>
          <w:rFonts w:hint="eastAsia" w:ascii="HG丸ｺﾞｼｯｸM-PRO" w:hAnsi="HG丸ｺﾞｼｯｸM-PRO" w:eastAsia="HG丸ｺﾞｼｯｸM-PRO"/>
          <w:sz w:val="24"/>
          <w:u w:val="single" w:color="auto"/>
        </w:rPr>
        <w:t>（４）土地利用</w:t>
      </w:r>
    </w:p>
    <w:p>
      <w:pPr>
        <w:pStyle w:val="0"/>
        <w:rPr>
          <w:rFonts w:hint="default" w:ascii="HG丸ｺﾞｼｯｸM-PRO" w:hAnsi="HG丸ｺﾞｼｯｸM-PRO" w:eastAsia="HG丸ｺﾞｼｯｸM-PRO"/>
          <w:sz w:val="24"/>
        </w:rPr>
      </w:pPr>
      <w:r>
        <w:rPr>
          <w:rFonts w:hint="eastAsia"/>
          <w:u w:val="single" w:color="auto"/>
        </w:rPr>
        <mc:AlternateContent>
          <mc:Choice Requires="wpg">
            <w:drawing>
              <wp:anchor distT="0" distB="0" distL="114300" distR="114300" simplePos="0" relativeHeight="19" behindDoc="0" locked="0" layoutInCell="1" hidden="0" allowOverlap="1">
                <wp:simplePos x="0" y="0"/>
                <wp:positionH relativeFrom="column">
                  <wp:posOffset>2972435</wp:posOffset>
                </wp:positionH>
                <wp:positionV relativeFrom="paragraph">
                  <wp:posOffset>202565</wp:posOffset>
                </wp:positionV>
                <wp:extent cx="3571875" cy="2757805"/>
                <wp:effectExtent l="0" t="0" r="635" b="635"/>
                <wp:wrapNone/>
                <wp:docPr id="1062" name="オブジェクト 0"/>
                <a:graphic xmlns:a="http://schemas.openxmlformats.org/drawingml/2006/main">
                  <a:graphicData uri="http://schemas.microsoft.com/office/word/2010/wordprocessingGroup">
                    <wpg:wgp>
                      <wpg:cNvGrpSpPr/>
                      <wpg:grpSpPr>
                        <a:xfrm>
                          <a:off x="0" y="0"/>
                          <a:ext cx="3571875" cy="2757805"/>
                          <a:chOff x="4034807" y="661970"/>
                          <a:chExt cx="2874829" cy="2261993"/>
                        </a:xfrm>
                      </wpg:grpSpPr>
                      <wps:wsp>
                        <wps:cNvPr id="1063" name="テキスト ボックス 8337"/>
                        <wps:cNvSpPr txBox="1">
                          <a:spLocks noChangeArrowheads="1"/>
                        </wps:cNvSpPr>
                        <wps:spPr>
                          <a:xfrm>
                            <a:off x="4983017" y="2693661"/>
                            <a:ext cx="1926774" cy="230210"/>
                          </a:xfrm>
                          <a:prstGeom prst="rect">
                            <a:avLst/>
                          </a:prstGeom>
                          <a:noFill/>
                          <a:ln>
                            <a:noFill/>
                          </a:ln>
                        </wps:spPr>
                        <wps:txbx>
                          <w:txbxContent>
                            <w:p>
                              <w:pPr>
                                <w:pStyle w:val="0"/>
                                <w:snapToGrid w:val="0"/>
                                <w:jc w:val="center"/>
                                <w:rPr>
                                  <w:rFonts w:hint="eastAsia"/>
                                </w:rPr>
                              </w:pPr>
                            </w:p>
                          </w:txbxContent>
                        </wps:txbx>
                        <wps:bodyPr rot="0" vertOverflow="overflow" horzOverflow="overflow" wrap="square" lIns="74295" tIns="8890" rIns="74295" bIns="8890" anchor="t" anchorCtr="0" upright="1"/>
                      </wps:wsp>
                      <wps:wsp>
                        <wps:cNvPr id="1064" name="テキスト ボックス 8337"/>
                        <wps:cNvSpPr txBox="1">
                          <a:spLocks noChangeArrowheads="1"/>
                        </wps:cNvSpPr>
                        <wps:spPr>
                          <a:xfrm>
                            <a:off x="4034807" y="661970"/>
                            <a:ext cx="2097986" cy="232814"/>
                          </a:xfrm>
                          <a:prstGeom prst="rect">
                            <a:avLst/>
                          </a:prstGeom>
                          <a:noFill/>
                          <a:ln>
                            <a:noFill/>
                          </a:ln>
                        </wps:spPr>
                        <wps:txbx>
                          <w:txbxContent>
                            <w:p>
                              <w:pPr>
                                <w:pStyle w:val="0"/>
                                <w:spacing w:line="300" w:lineRule="exact"/>
                                <w:jc w:val="center"/>
                                <w:rPr>
                                  <w:rFonts w:hint="eastAsia"/>
                                </w:rPr>
                              </w:pPr>
                              <w:r>
                                <w:rPr>
                                  <w:rFonts w:hint="eastAsia" w:ascii="ＭＳ ゴシック" w:hAnsi="ＭＳ ゴシック" w:eastAsia="ＭＳ ゴシック"/>
                                  <w:sz w:val="22"/>
                                </w:rPr>
                                <w:t>民有地面積の地目別</w:t>
                              </w:r>
                              <w:r>
                                <w:rPr>
                                  <w:rFonts w:hint="default" w:ascii="ＭＳ ゴシック" w:hAnsi="ＭＳ ゴシック" w:eastAsia="ＭＳ ゴシック"/>
                                  <w:sz w:val="22"/>
                                </w:rPr>
                                <w:t>割合の</w:t>
                              </w:r>
                              <w:r>
                                <w:rPr>
                                  <w:rFonts w:hint="eastAsia" w:ascii="ＭＳ ゴシック" w:hAnsi="ＭＳ ゴシック" w:eastAsia="ＭＳ ゴシック"/>
                                  <w:sz w:val="22"/>
                                </w:rPr>
                                <w:t>推移</w:t>
                              </w:r>
                            </w:p>
                          </w:txbxContent>
                        </wps:txbx>
                        <wps:bodyPr rot="0" vertOverflow="overflow" horzOverflow="overflow" wrap="square" lIns="74295" tIns="8890" rIns="74295" bIns="8890" anchor="t" anchorCtr="0" upright="1"/>
                      </wps:wsp>
                    </wpg:wgp>
                  </a:graphicData>
                </a:graphic>
              </wp:anchor>
            </w:drawing>
          </mc:Choice>
          <mc:Fallback>
            <w:pict>
              <v:group id="オブジェクト 0" style="mso-wrap-distance-right:9pt;mso-wrap-distance-bottom:0pt;margin-top:15.95pt;mso-position-vertical-relative:text;mso-position-horizontal-relative:text;position:absolute;height:217.15pt;mso-wrap-distance-top:0pt;width:281.25pt;mso-wrap-distance-left:9pt;margin-left:234.05pt;z-index:19;" coordsize="2874829,2261993" coordorigin="4034807,661970" o:spid="_x0000_s1062" o:allowincell="t" o:allowoverlap="t">
                <v:shapetype id="_x0000_t202" coordsize="21600,21600" o:spt="202" path="m,l,21600r21600,l21600,xe">
                  <v:stroke joinstyle="miter"/>
                  <v:path gradientshapeok="t" o:connecttype="rect"/>
                </v:shapetype>
                <v:shape id="テキスト ボックス 8337" style="height:230210;width:1926774;top:2693661;left:4983017;position:absolute;" o:spid="_x0000_s1063" filled="f" stroked="f" o:spt="202" type="#_x0000_t202">
                  <v:fill/>
                  <v:textbox style="layout-flow:horizontal;" inset="2.0637499999999998mm,0.24694444444444438mm,2.0637499999999998mm,0.24694444444444438mm">
                    <w:txbxContent>
                      <w:p>
                        <w:pPr>
                          <w:pStyle w:val="0"/>
                          <w:snapToGrid w:val="0"/>
                          <w:jc w:val="center"/>
                          <w:rPr>
                            <w:rFonts w:hint="eastAsia"/>
                          </w:rPr>
                        </w:pPr>
                      </w:p>
                    </w:txbxContent>
                  </v:textbox>
                  <v:imagedata o:title=""/>
                  <w10:wrap type="none" anchorx="text" anchory="text"/>
                </v:shape>
                <v:shape id="テキスト ボックス 8337" style="height:232814;width:2097986;top:661970;left:4034807;position:absolute;" o:spid="_x0000_s1064" filled="f" stroked="f" o:spt="202" type="#_x0000_t202">
                  <v:fill/>
                  <v:textbox style="layout-flow:horizontal;" inset="2.0637499999999998mm,0.24694444444444438mm,2.0637499999999998mm,0.24694444444444438mm">
                    <w:txbxContent>
                      <w:p>
                        <w:pPr>
                          <w:pStyle w:val="0"/>
                          <w:spacing w:line="300" w:lineRule="exact"/>
                          <w:jc w:val="center"/>
                          <w:rPr>
                            <w:rFonts w:hint="eastAsia"/>
                          </w:rPr>
                        </w:pPr>
                        <w:r>
                          <w:rPr>
                            <w:rFonts w:hint="eastAsia" w:ascii="ＭＳ ゴシック" w:hAnsi="ＭＳ ゴシック" w:eastAsia="ＭＳ ゴシック"/>
                            <w:sz w:val="22"/>
                          </w:rPr>
                          <w:t>民有地面積の地目別</w:t>
                        </w:r>
                        <w:r>
                          <w:rPr>
                            <w:rFonts w:hint="default" w:ascii="ＭＳ ゴシック" w:hAnsi="ＭＳ ゴシック" w:eastAsia="ＭＳ ゴシック"/>
                            <w:sz w:val="22"/>
                          </w:rPr>
                          <w:t>割合の</w:t>
                        </w:r>
                        <w:r>
                          <w:rPr>
                            <w:rFonts w:hint="eastAsia" w:ascii="ＭＳ ゴシック" w:hAnsi="ＭＳ ゴシック" w:eastAsia="ＭＳ ゴシック"/>
                            <w:sz w:val="22"/>
                          </w:rPr>
                          <w:t>推移</w:t>
                        </w:r>
                      </w:p>
                    </w:txbxContent>
                  </v:textbox>
                  <v:imagedata o:title=""/>
                  <w10:wrap type="none" anchorx="text" anchory="text"/>
                </v:shape>
                <w10:wrap type="none" anchorx="text" anchory="text"/>
              </v:group>
            </w:pict>
          </mc:Fallback>
        </mc:AlternateContent>
      </w:r>
      <w:r>
        <w:rPr>
          <w:rFonts w:hint="default"/>
        </w:rPr>
        <mc:AlternateContent>
          <mc:Choice Requires="wps">
            <w:drawing>
              <wp:anchor distT="0" distB="0" distL="114300" distR="114300" simplePos="0" relativeHeight="35" behindDoc="0" locked="0" layoutInCell="1" hidden="0" allowOverlap="1">
                <wp:simplePos x="0" y="0"/>
                <wp:positionH relativeFrom="column">
                  <wp:posOffset>-80010</wp:posOffset>
                </wp:positionH>
                <wp:positionV relativeFrom="paragraph">
                  <wp:posOffset>127000</wp:posOffset>
                </wp:positionV>
                <wp:extent cx="2606675" cy="283845"/>
                <wp:effectExtent l="0" t="0" r="635" b="635"/>
                <wp:wrapNone/>
                <wp:docPr id="1065" name="テキスト ボックス 8337"/>
                <a:graphic xmlns:a="http://schemas.openxmlformats.org/drawingml/2006/main">
                  <a:graphicData uri="http://schemas.microsoft.com/office/word/2010/wordprocessingShape">
                    <wps:wsp>
                      <wps:cNvPr id="1065" name="テキスト ボックス 8337"/>
                      <wps:cNvSpPr txBox="1">
                        <a:spLocks noChangeArrowheads="1"/>
                      </wps:cNvSpPr>
                      <wps:spPr>
                        <a:xfrm>
                          <a:off x="0" y="0"/>
                          <a:ext cx="2606675" cy="283845"/>
                        </a:xfrm>
                        <a:prstGeom prst="rect">
                          <a:avLst/>
                        </a:prstGeom>
                        <a:noFill/>
                        <a:ln>
                          <a:noFill/>
                        </a:ln>
                      </wps:spPr>
                      <wps:txbx>
                        <w:txbxContent>
                          <w:p>
                            <w:pPr>
                              <w:pStyle w:val="0"/>
                              <w:spacing w:line="300" w:lineRule="exact"/>
                              <w:jc w:val="center"/>
                              <w:rPr>
                                <w:rFonts w:hint="default" w:ascii="ＭＳ ゴシック" w:hAnsi="ＭＳ ゴシック" w:eastAsia="ＭＳ ゴシック"/>
                                <w:sz w:val="22"/>
                              </w:rPr>
                            </w:pPr>
                            <w:r>
                              <w:rPr>
                                <w:rFonts w:hint="eastAsia" w:ascii="ＭＳ ゴシック" w:hAnsi="ＭＳ ゴシック" w:eastAsia="ＭＳ ゴシック"/>
                                <w:sz w:val="22"/>
                              </w:rPr>
                              <w:t>都市計画用途地域の指定状況</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8337" style="mso-wrap-distance-right:9pt;mso-wrap-distance-bottom:0pt;margin-top:10pt;mso-position-vertical-relative:text;mso-position-horizontal-relative:text;v-text-anchor:top;position:absolute;height:22.35pt;mso-wrap-distance-top:0pt;width:205.25pt;mso-wrap-distance-left:9pt;margin-left:-6.3pt;z-index:35;" o:spid="_x0000_s1065" o:allowincell="t" o:allowoverlap="t" filled="f" stroked="f" o:spt="202" type="#_x0000_t202">
                <v:fill/>
                <v:textbox style="layout-flow:horizontal;" inset="2.0637499999999998mm,0.24694444444444438mm,2.0637499999999998mm,0.24694444444444438mm">
                  <w:txbxContent>
                    <w:p>
                      <w:pPr>
                        <w:pStyle w:val="0"/>
                        <w:spacing w:line="300" w:lineRule="exact"/>
                        <w:jc w:val="center"/>
                        <w:rPr>
                          <w:rFonts w:hint="default" w:ascii="ＭＳ ゴシック" w:hAnsi="ＭＳ ゴシック" w:eastAsia="ＭＳ ゴシック"/>
                          <w:sz w:val="22"/>
                        </w:rPr>
                      </w:pPr>
                      <w:r>
                        <w:rPr>
                          <w:rFonts w:hint="eastAsia" w:ascii="ＭＳ ゴシック" w:hAnsi="ＭＳ ゴシック" w:eastAsia="ＭＳ ゴシック"/>
                          <w:sz w:val="22"/>
                        </w:rPr>
                        <w:t>都市計画用途地域の指定状況</w:t>
                      </w:r>
                    </w:p>
                  </w:txbxContent>
                </v:textbox>
                <v:imagedata o:title=""/>
                <w10:wrap type="none" anchorx="text" anchory="text"/>
              </v:shape>
            </w:pict>
          </mc:Fallback>
        </mc:AlternateContent>
      </w:r>
    </w:p>
    <w:p>
      <w:pPr>
        <w:pStyle w:val="0"/>
        <w:jc w:val="center"/>
        <w:rPr>
          <w:rFonts w:hint="default" w:ascii="HG丸ｺﾞｼｯｸM-PRO" w:hAnsi="HG丸ｺﾞｼｯｸM-PRO" w:eastAsia="HG丸ｺﾞｼｯｸM-PRO"/>
          <w:sz w:val="24"/>
        </w:rPr>
      </w:pPr>
      <w:r>
        <w:rPr>
          <w:rFonts w:hint="default"/>
        </w:rPr>
        <w:drawing>
          <wp:anchor distT="0" distB="0" distL="114300" distR="114300" simplePos="0" relativeHeight="37" behindDoc="0" locked="0" layoutInCell="1" hidden="0" allowOverlap="1">
            <wp:simplePos x="0" y="0"/>
            <wp:positionH relativeFrom="margin">
              <wp:posOffset>-504190</wp:posOffset>
            </wp:positionH>
            <wp:positionV relativeFrom="margin">
              <wp:posOffset>4524375</wp:posOffset>
            </wp:positionV>
            <wp:extent cx="3070860" cy="2397760"/>
            <wp:effectExtent l="0" t="0" r="0" b="0"/>
            <wp:wrapSquare wrapText="bothSides"/>
            <wp:docPr id="1066" name="オブジェクト 0"/>
            <a:graphic xmlns:a="http://schemas.openxmlformats.org/drawingml/2006/main">
              <a:graphicData uri="http://schemas.openxmlformats.org/drawingml/2006/chart">
                <c:chart xmlns:c="http://schemas.openxmlformats.org/drawingml/2006/chart" r:id="rId25"/>
              </a:graphicData>
            </a:graphic>
          </wp:anchor>
        </w:drawing>
      </w:r>
    </w:p>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mc:AlternateContent>
          <mc:Choice Requires="wps">
            <w:drawing>
              <wp:anchor distT="0" distB="0" distL="114300" distR="114300" simplePos="0" relativeHeight="36" behindDoc="0" locked="0" layoutInCell="1" hidden="0" allowOverlap="1">
                <wp:simplePos x="0" y="0"/>
                <wp:positionH relativeFrom="column">
                  <wp:posOffset>-1614170</wp:posOffset>
                </wp:positionH>
                <wp:positionV relativeFrom="paragraph">
                  <wp:posOffset>2177415</wp:posOffset>
                </wp:positionV>
                <wp:extent cx="1295400" cy="276225"/>
                <wp:effectExtent l="0" t="0" r="635" b="635"/>
                <wp:wrapNone/>
                <wp:docPr id="1067" name="テキスト ボックス 2"/>
                <a:graphic xmlns:a="http://schemas.openxmlformats.org/drawingml/2006/main">
                  <a:graphicData uri="http://schemas.microsoft.com/office/word/2010/wordprocessingShape">
                    <wps:wsp>
                      <wps:cNvPr id="1067" name="テキスト ボックス 2"/>
                      <wps:cNvSpPr txBox="1">
                        <a:spLocks noChangeArrowheads="1"/>
                      </wps:cNvSpPr>
                      <wps:spPr>
                        <a:xfrm>
                          <a:off x="0" y="0"/>
                          <a:ext cx="1295400" cy="276225"/>
                        </a:xfrm>
                        <a:prstGeom prst="rect">
                          <a:avLst/>
                        </a:prstGeom>
                        <a:noFill/>
                        <a:ln w="9525">
                          <a:noFill/>
                          <a:miter lim="800000"/>
                          <a:headEnd/>
                          <a:tailEnd/>
                        </a:ln>
                      </wps:spPr>
                      <wps:txbx>
                        <w:txbxContent>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資料：津山市</w:t>
                            </w:r>
                            <w:r>
                              <w:rPr>
                                <w:rFonts w:hint="eastAsia" w:ascii="HG丸ｺﾞｼｯｸM-PRO" w:hAnsi="HG丸ｺﾞｼｯｸM-PRO" w:eastAsia="HG丸ｺﾞｼｯｸM-PRO"/>
                                <w:sz w:val="18"/>
                              </w:rPr>
                              <w:t>HP</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71.45pt;mso-position-vertical-relative:text;mso-position-horizontal-relative:text;v-text-anchor:top;position:absolute;height:21.75pt;mso-wrap-distance-top:0pt;width:102pt;mso-wrap-distance-left:9pt;margin-left:-127.1pt;z-index:36;" o:spid="_x0000_s1067" o:allowincell="t" o:allowoverlap="t" filled="f" stroked="f" strokeweight="0.75pt" o:spt="202" type="#_x0000_t202">
                <v:fill/>
                <v:stroke miterlimit="8"/>
                <v:textbox style="layout-flow:horizontal;">
                  <w:txbxContent>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資料：津山市</w:t>
                      </w:r>
                      <w:r>
                        <w:rPr>
                          <w:rFonts w:hint="eastAsia" w:ascii="HG丸ｺﾞｼｯｸM-PRO" w:hAnsi="HG丸ｺﾞｼｯｸM-PRO" w:eastAsia="HG丸ｺﾞｼｯｸM-PRO"/>
                          <w:sz w:val="18"/>
                        </w:rPr>
                        <w:t>HP</w:t>
                      </w:r>
                    </w:p>
                  </w:txbxContent>
                </v:textbox>
                <v:imagedata o:title=""/>
                <w10:wrap type="none" anchorx="text" anchory="text"/>
              </v:shape>
            </w:pict>
          </mc:Fallback>
        </mc:AlternateContent>
      </w:r>
      <w:r>
        <w:rPr>
          <w:rFonts w:hint="eastAsia"/>
        </w:rPr>
        <w:drawing>
          <wp:anchor distT="0" distB="0" distL="203200" distR="203200" simplePos="0" relativeHeight="78" behindDoc="0" locked="0" layoutInCell="1" hidden="0" allowOverlap="1">
            <wp:simplePos x="0" y="0"/>
            <wp:positionH relativeFrom="column">
              <wp:posOffset>-565785</wp:posOffset>
            </wp:positionH>
            <wp:positionV relativeFrom="paragraph">
              <wp:posOffset>12700</wp:posOffset>
            </wp:positionV>
            <wp:extent cx="4435475" cy="3296920"/>
            <wp:effectExtent l="0" t="0" r="0" b="0"/>
            <wp:wrapNone/>
            <wp:docPr id="1068" name="オブジェクト 0"/>
            <a:graphic xmlns:a="http://schemas.openxmlformats.org/drawingml/2006/main">
              <a:graphicData uri="http://schemas.openxmlformats.org/drawingml/2006/picture">
                <pic:pic xmlns:pic="http://schemas.openxmlformats.org/drawingml/2006/picture">
                  <pic:nvPicPr>
                    <pic:cNvPr id="1068" name="オブジェクト 0"/>
                    <pic:cNvPicPr>
                      <a:picLocks noChangeAspect="1"/>
                    </pic:cNvPicPr>
                  </pic:nvPicPr>
                  <pic:blipFill>
                    <a:blip r:embed="rId26"/>
                    <a:stretch>
                      <a:fillRect/>
                    </a:stretch>
                  </pic:blipFill>
                  <pic:spPr>
                    <a:xfrm>
                      <a:off x="0" y="0"/>
                      <a:ext cx="4435475" cy="3296920"/>
                    </a:xfrm>
                    <a:prstGeom prst="rect">
                      <a:avLst/>
                    </a:prstGeom>
                  </pic:spPr>
                </pic:pic>
              </a:graphicData>
            </a:graphic>
          </wp:anchor>
        </w:drawing>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widowControl w:val="1"/>
        <w:jc w:val="left"/>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br w:type="page"/>
      </w:r>
    </w:p>
    <w:p>
      <w:pPr>
        <w:pStyle w:val="0"/>
        <w:rPr>
          <w:rFonts w:hint="default" w:ascii="HG丸ｺﾞｼｯｸM-PRO" w:hAnsi="HG丸ｺﾞｼｯｸM-PRO" w:eastAsia="HG丸ｺﾞｼｯｸM-PRO"/>
          <w:sz w:val="24"/>
          <w:u w:val="single" w:color="auto"/>
        </w:rPr>
      </w:pPr>
      <w:r>
        <w:rPr>
          <w:rFonts w:hint="eastAsia" w:ascii="HG丸ｺﾞｼｯｸM-PRO" w:hAnsi="HG丸ｺﾞｼｯｸM-PRO" w:eastAsia="HG丸ｺﾞｼｯｸM-PRO"/>
          <w:sz w:val="24"/>
          <w:u w:val="single" w:color="auto"/>
        </w:rPr>
        <w:t>（５）交通（自動車登録台数・</w:t>
      </w:r>
      <w:r>
        <w:rPr>
          <w:rFonts w:hint="eastAsia" w:ascii="HG丸ｺﾞｼｯｸM-PRO" w:hAnsi="HG丸ｺﾞｼｯｸM-PRO" w:eastAsia="HG丸ｺﾞｼｯｸM-PRO"/>
          <w:sz w:val="24"/>
          <w:u w:val="single" w:color="auto"/>
        </w:rPr>
        <w:t>JR</w:t>
      </w:r>
      <w:r>
        <w:rPr>
          <w:rFonts w:hint="eastAsia" w:ascii="HG丸ｺﾞｼｯｸM-PRO" w:hAnsi="HG丸ｺﾞｼｯｸM-PRO" w:eastAsia="HG丸ｺﾞｼｯｸM-PRO"/>
          <w:sz w:val="24"/>
          <w:u w:val="single" w:color="auto"/>
        </w:rPr>
        <w:t>津山駅における乗車人数）</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rPr>
        <mc:AlternateContent>
          <mc:Choice Requires="wps">
            <w:drawing>
              <wp:anchor distT="0" distB="0" distL="114300" distR="114300" simplePos="0" relativeHeight="31" behindDoc="0" locked="0" layoutInCell="1" hidden="0" allowOverlap="1">
                <wp:simplePos x="0" y="0"/>
                <wp:positionH relativeFrom="column">
                  <wp:posOffset>2012315</wp:posOffset>
                </wp:positionH>
                <wp:positionV relativeFrom="paragraph">
                  <wp:posOffset>184785</wp:posOffset>
                </wp:positionV>
                <wp:extent cx="1666875" cy="314325"/>
                <wp:effectExtent l="0" t="0" r="635" b="635"/>
                <wp:wrapNone/>
                <wp:docPr id="1069" name="テキスト ボックス 8338"/>
                <a:graphic xmlns:a="http://schemas.openxmlformats.org/drawingml/2006/main">
                  <a:graphicData uri="http://schemas.microsoft.com/office/word/2010/wordprocessingShape">
                    <wps:wsp>
                      <wps:cNvPr id="1069" name="テキスト ボックス 8338"/>
                      <wps:cNvSpPr txBox="1">
                        <a:spLocks noChangeArrowheads="1"/>
                      </wps:cNvSpPr>
                      <wps:spPr>
                        <a:xfrm>
                          <a:off x="0" y="0"/>
                          <a:ext cx="1666875" cy="314325"/>
                        </a:xfrm>
                        <a:prstGeom prst="rect">
                          <a:avLst/>
                        </a:prstGeom>
                        <a:noFill/>
                        <a:ln>
                          <a:noFill/>
                        </a:ln>
                      </wps:spPr>
                      <wps:txbx>
                        <w:txbxContent>
                          <w:p>
                            <w:pPr>
                              <w:pStyle w:val="0"/>
                              <w:spacing w:line="300" w:lineRule="exact"/>
                              <w:rPr>
                                <w:rFonts w:hint="default" w:ascii="ＭＳ ゴシック" w:hAnsi="ＭＳ ゴシック" w:eastAsia="ＭＳ ゴシック"/>
                                <w:sz w:val="22"/>
                              </w:rPr>
                            </w:pPr>
                            <w:r>
                              <w:rPr>
                                <w:rFonts w:hint="eastAsia" w:ascii="ＭＳ ゴシック" w:hAnsi="ＭＳ ゴシック" w:eastAsia="ＭＳ ゴシック"/>
                                <w:sz w:val="22"/>
                              </w:rPr>
                              <w:t>自動車</w:t>
                            </w:r>
                            <w:r>
                              <w:rPr>
                                <w:rFonts w:hint="default" w:ascii="ＭＳ ゴシック" w:hAnsi="ＭＳ ゴシック" w:eastAsia="ＭＳ ゴシック"/>
                                <w:sz w:val="22"/>
                              </w:rPr>
                              <w:t>登録台数の推移</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8338" style="mso-wrap-distance-right:9pt;mso-wrap-distance-bottom:0pt;margin-top:14.55pt;mso-position-vertical-relative:text;mso-position-horizontal-relative:text;v-text-anchor:top;position:absolute;height:24.75pt;mso-wrap-distance-top:0pt;width:131.25pt;mso-wrap-distance-left:9pt;margin-left:158.44pt;z-index:31;" o:spid="_x0000_s1069" o:allowincell="t" o:allowoverlap="t" filled="f" stroked="f" o:spt="202" type="#_x0000_t202">
                <v:fill/>
                <v:textbox style="layout-flow:horizontal;" inset="2.0637499999999998mm,0.24694444444444438mm,2.0637499999999998mm,0.24694444444444438mm">
                  <w:txbxContent>
                    <w:p>
                      <w:pPr>
                        <w:pStyle w:val="0"/>
                        <w:spacing w:line="300" w:lineRule="exact"/>
                        <w:rPr>
                          <w:rFonts w:hint="default" w:ascii="ＭＳ ゴシック" w:hAnsi="ＭＳ ゴシック" w:eastAsia="ＭＳ ゴシック"/>
                          <w:sz w:val="22"/>
                        </w:rPr>
                      </w:pPr>
                      <w:r>
                        <w:rPr>
                          <w:rFonts w:hint="eastAsia" w:ascii="ＭＳ ゴシック" w:hAnsi="ＭＳ ゴシック" w:eastAsia="ＭＳ ゴシック"/>
                          <w:sz w:val="22"/>
                        </w:rPr>
                        <w:t>自動車</w:t>
                      </w:r>
                      <w:r>
                        <w:rPr>
                          <w:rFonts w:hint="default" w:ascii="ＭＳ ゴシック" w:hAnsi="ＭＳ ゴシック" w:eastAsia="ＭＳ ゴシック"/>
                          <w:sz w:val="22"/>
                        </w:rPr>
                        <w:t>登録台数の推移</w:t>
                      </w:r>
                    </w:p>
                  </w:txbxContent>
                </v:textbox>
                <v:imagedata o:title=""/>
                <w10:wrap type="none" anchorx="text" anchory="text"/>
              </v:shape>
            </w:pict>
          </mc:Fallback>
        </mc:AlternateContent>
      </w:r>
    </w:p>
    <w:p>
      <w:pPr>
        <w:pStyle w:val="0"/>
        <w:jc w:val="center"/>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rPr>
        <w:drawing>
          <wp:inline distT="0" distB="0" distL="203200" distR="203200">
            <wp:extent cx="5220335" cy="3524250"/>
            <wp:effectExtent l="0" t="0" r="0" b="0"/>
            <wp:docPr id="1070" name="オブジェクト 0"/>
            <a:graphic xmlns:a="http://schemas.openxmlformats.org/drawingml/2006/main">
              <a:graphicData uri="http://schemas.openxmlformats.org/drawingml/2006/picture">
                <pic:pic xmlns:pic="http://schemas.openxmlformats.org/drawingml/2006/picture">
                  <pic:nvPicPr>
                    <pic:cNvPr id="1070" name="オブジェクト 0"/>
                    <pic:cNvPicPr>
                      <a:picLocks noChangeAspect="1"/>
                    </pic:cNvPicPr>
                  </pic:nvPicPr>
                  <pic:blipFill>
                    <a:blip r:embed="rId27"/>
                    <a:stretch>
                      <a:fillRect/>
                    </a:stretch>
                  </pic:blipFill>
                  <pic:spPr>
                    <a:xfrm>
                      <a:off x="0" y="0"/>
                      <a:ext cx="5220335" cy="3524250"/>
                    </a:xfrm>
                    <a:prstGeom prst="rect">
                      <a:avLst/>
                    </a:prstGeom>
                  </pic:spPr>
                </pic:pic>
              </a:graphicData>
            </a:graphic>
          </wp:inline>
        </w:drawing>
      </w:r>
    </w:p>
    <w:p>
      <w:pPr>
        <w:pStyle w:val="0"/>
        <w:rPr>
          <w:rFonts w:hint="default" w:ascii="HG丸ｺﾞｼｯｸM-PRO" w:hAnsi="HG丸ｺﾞｼｯｸM-PRO" w:eastAsia="HG丸ｺﾞｼｯｸM-PRO"/>
          <w:sz w:val="24"/>
        </w:rPr>
      </w:pPr>
    </w:p>
    <w:p>
      <w:pPr>
        <w:pStyle w:val="0"/>
        <w:jc w:val="center"/>
        <w:rPr>
          <w:rFonts w:hint="default" w:ascii="HG丸ｺﾞｼｯｸM-PRO" w:hAnsi="HG丸ｺﾞｼｯｸM-PRO" w:eastAsia="HG丸ｺﾞｼｯｸM-PRO"/>
          <w:sz w:val="24"/>
        </w:rPr>
      </w:pPr>
      <w:r>
        <w:rPr>
          <w:rFonts w:hint="eastAsia"/>
        </w:rPr>
        <mc:AlternateContent>
          <mc:Choice Requires="wps">
            <w:drawing>
              <wp:anchor distT="0" distB="0" distL="114300" distR="114300" simplePos="0" relativeHeight="32" behindDoc="0" locked="0" layoutInCell="1" hidden="0" allowOverlap="1">
                <wp:simplePos x="0" y="0"/>
                <wp:positionH relativeFrom="column">
                  <wp:posOffset>1466850</wp:posOffset>
                </wp:positionH>
                <wp:positionV relativeFrom="paragraph">
                  <wp:posOffset>165735</wp:posOffset>
                </wp:positionV>
                <wp:extent cx="3305175" cy="276225"/>
                <wp:effectExtent l="0" t="0" r="635" b="635"/>
                <wp:wrapNone/>
                <wp:docPr id="1071" name="テキスト ボックス 8340"/>
                <a:graphic xmlns:a="http://schemas.openxmlformats.org/drawingml/2006/main">
                  <a:graphicData uri="http://schemas.microsoft.com/office/word/2010/wordprocessingShape">
                    <wps:wsp>
                      <wps:cNvPr id="1071" name="テキスト ボックス 8340"/>
                      <wps:cNvSpPr txBox="1">
                        <a:spLocks noChangeArrowheads="1"/>
                      </wps:cNvSpPr>
                      <wps:spPr>
                        <a:xfrm>
                          <a:off x="0" y="0"/>
                          <a:ext cx="3305175" cy="276225"/>
                        </a:xfrm>
                        <a:prstGeom prst="rect">
                          <a:avLst/>
                        </a:prstGeom>
                        <a:noFill/>
                        <a:ln>
                          <a:noFill/>
                        </a:ln>
                      </wps:spPr>
                      <wps:txbx>
                        <w:txbxContent>
                          <w:p>
                            <w:pPr>
                              <w:pStyle w:val="0"/>
                              <w:spacing w:line="300" w:lineRule="exact"/>
                              <w:jc w:val="center"/>
                              <w:rPr>
                                <w:rFonts w:hint="default" w:ascii="ＭＳ ゴシック" w:hAnsi="ＭＳ ゴシック" w:eastAsia="ＭＳ ゴシック"/>
                                <w:sz w:val="22"/>
                              </w:rPr>
                            </w:pPr>
                            <w:r>
                              <w:rPr>
                                <w:rFonts w:hint="eastAsia" w:ascii="ＭＳ ゴシック" w:hAnsi="ＭＳ ゴシック" w:eastAsia="ＭＳ ゴシック"/>
                                <w:sz w:val="22"/>
                              </w:rPr>
                              <w:t>JR</w:t>
                            </w:r>
                            <w:r>
                              <w:rPr>
                                <w:rFonts w:hint="default" w:ascii="ＭＳ ゴシック" w:hAnsi="ＭＳ ゴシック" w:eastAsia="ＭＳ ゴシック"/>
                                <w:sz w:val="22"/>
                              </w:rPr>
                              <w:t>津山駅</w:t>
                            </w:r>
                            <w:r>
                              <w:rPr>
                                <w:rFonts w:hint="eastAsia" w:ascii="ＭＳ ゴシック" w:hAnsi="ＭＳ ゴシック" w:eastAsia="ＭＳ ゴシック"/>
                                <w:sz w:val="22"/>
                              </w:rPr>
                              <w:t>における乗車人数の</w:t>
                            </w:r>
                            <w:r>
                              <w:rPr>
                                <w:rFonts w:hint="default" w:ascii="ＭＳ ゴシック" w:hAnsi="ＭＳ ゴシック" w:eastAsia="ＭＳ ゴシック"/>
                                <w:sz w:val="22"/>
                              </w:rPr>
                              <w:t>推移</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8340" style="mso-wrap-distance-right:9pt;mso-wrap-distance-bottom:0pt;margin-top:13.05pt;mso-position-vertical-relative:text;mso-position-horizontal-relative:text;v-text-anchor:top;position:absolute;height:21.75pt;mso-wrap-distance-top:0pt;width:260.25pt;mso-wrap-distance-left:9pt;margin-left:115.5pt;z-index:32;" o:spid="_x0000_s1071" o:allowincell="t" o:allowoverlap="t" filled="f" stroked="f" o:spt="202" type="#_x0000_t202">
                <v:fill/>
                <v:textbox style="layout-flow:horizontal;" inset="2.0637499999999998mm,0.24694444444444438mm,2.0637499999999998mm,0.24694444444444438mm">
                  <w:txbxContent>
                    <w:p>
                      <w:pPr>
                        <w:pStyle w:val="0"/>
                        <w:spacing w:line="300" w:lineRule="exact"/>
                        <w:jc w:val="center"/>
                        <w:rPr>
                          <w:rFonts w:hint="default" w:ascii="ＭＳ ゴシック" w:hAnsi="ＭＳ ゴシック" w:eastAsia="ＭＳ ゴシック"/>
                          <w:sz w:val="22"/>
                        </w:rPr>
                      </w:pPr>
                      <w:r>
                        <w:rPr>
                          <w:rFonts w:hint="eastAsia" w:ascii="ＭＳ ゴシック" w:hAnsi="ＭＳ ゴシック" w:eastAsia="ＭＳ ゴシック"/>
                          <w:sz w:val="22"/>
                        </w:rPr>
                        <w:t>JR</w:t>
                      </w:r>
                      <w:r>
                        <w:rPr>
                          <w:rFonts w:hint="default" w:ascii="ＭＳ ゴシック" w:hAnsi="ＭＳ ゴシック" w:eastAsia="ＭＳ ゴシック"/>
                          <w:sz w:val="22"/>
                        </w:rPr>
                        <w:t>津山駅</w:t>
                      </w:r>
                      <w:r>
                        <w:rPr>
                          <w:rFonts w:hint="eastAsia" w:ascii="ＭＳ ゴシック" w:hAnsi="ＭＳ ゴシック" w:eastAsia="ＭＳ ゴシック"/>
                          <w:sz w:val="22"/>
                        </w:rPr>
                        <w:t>における乗車人数の</w:t>
                      </w:r>
                      <w:r>
                        <w:rPr>
                          <w:rFonts w:hint="default" w:ascii="ＭＳ ゴシック" w:hAnsi="ＭＳ ゴシック" w:eastAsia="ＭＳ ゴシック"/>
                          <w:sz w:val="22"/>
                        </w:rPr>
                        <w:t>推移</w:t>
                      </w:r>
                    </w:p>
                  </w:txbxContent>
                </v:textbox>
                <v:imagedata o:title=""/>
                <w10:wrap type="none" anchorx="text" anchory="text"/>
              </v:shape>
            </w:pict>
          </mc:Fallback>
        </mc:AlternateContent>
      </w:r>
    </w:p>
    <w:p>
      <w:pPr>
        <w:pStyle w:val="0"/>
        <w:jc w:val="center"/>
        <w:rPr>
          <w:rFonts w:hint="default" w:ascii="HG丸ｺﾞｼｯｸM-PRO" w:hAnsi="HG丸ｺﾞｼｯｸM-PRO" w:eastAsia="HG丸ｺﾞｼｯｸM-PRO"/>
          <w:sz w:val="24"/>
        </w:rPr>
      </w:pPr>
    </w:p>
    <w:p>
      <w:pPr>
        <w:pStyle w:val="0"/>
        <w:jc w:val="center"/>
        <w:rPr>
          <w:rFonts w:hint="default" w:ascii="HG丸ｺﾞｼｯｸM-PRO" w:hAnsi="HG丸ｺﾞｼｯｸM-PRO" w:eastAsia="HG丸ｺﾞｼｯｸM-PRO"/>
          <w:sz w:val="24"/>
        </w:rPr>
      </w:pPr>
      <w:r>
        <w:rPr>
          <w:rFonts w:hint="eastAsia"/>
        </w:rPr>
        <w:drawing>
          <wp:anchor distT="0" distB="0" distL="203200" distR="203200" simplePos="0" relativeHeight="77" behindDoc="0" locked="0" layoutInCell="1" hidden="0" allowOverlap="1">
            <wp:simplePos x="0" y="0"/>
            <wp:positionH relativeFrom="column">
              <wp:posOffset>429895</wp:posOffset>
            </wp:positionH>
            <wp:positionV relativeFrom="paragraph">
              <wp:posOffset>81915</wp:posOffset>
            </wp:positionV>
            <wp:extent cx="5048885" cy="3249930"/>
            <wp:effectExtent l="0" t="0" r="0" b="0"/>
            <wp:wrapNone/>
            <wp:docPr id="1072" name="オブジェクト 0"/>
            <a:graphic xmlns:a="http://schemas.openxmlformats.org/drawingml/2006/main">
              <a:graphicData uri="http://schemas.openxmlformats.org/drawingml/2006/picture">
                <pic:pic xmlns:pic="http://schemas.openxmlformats.org/drawingml/2006/picture">
                  <pic:nvPicPr>
                    <pic:cNvPr id="1072" name="オブジェクト 0"/>
                    <pic:cNvPicPr>
                      <a:picLocks noChangeAspect="1"/>
                    </pic:cNvPicPr>
                  </pic:nvPicPr>
                  <pic:blipFill>
                    <a:blip r:embed="rId28"/>
                    <a:stretch>
                      <a:fillRect/>
                    </a:stretch>
                  </pic:blipFill>
                  <pic:spPr>
                    <a:xfrm>
                      <a:off x="0" y="0"/>
                      <a:ext cx="5048885" cy="3249930"/>
                    </a:xfrm>
                    <a:prstGeom prst="rect">
                      <a:avLst/>
                    </a:prstGeom>
                  </pic:spPr>
                </pic:pic>
              </a:graphicData>
            </a:graphic>
          </wp:anchor>
        </w:drawing>
      </w:r>
    </w:p>
    <w:p>
      <w:pPr>
        <w:pStyle w:val="0"/>
        <w:jc w:val="center"/>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widowControl w:val="1"/>
        <w:jc w:val="center"/>
        <w:rPr>
          <w:rFonts w:hint="default" w:ascii="Century" w:hAnsi="Century" w:eastAsia="ＭＳ 明朝"/>
        </w:rPr>
      </w:pPr>
    </w:p>
    <w:p>
      <w:pPr>
        <w:pStyle w:val="0"/>
        <w:widowControl w:val="1"/>
        <w:jc w:val="center"/>
        <w:rPr>
          <w:rFonts w:hint="default" w:ascii="Century" w:hAnsi="Century" w:eastAsia="ＭＳ 明朝"/>
        </w:rPr>
      </w:pPr>
    </w:p>
    <w:p>
      <w:pPr>
        <w:pStyle w:val="0"/>
        <w:widowControl w:val="1"/>
        <w:jc w:val="left"/>
        <w:rPr>
          <w:rFonts w:hint="default" w:ascii="HG丸ｺﾞｼｯｸM-PRO" w:hAnsi="HG丸ｺﾞｼｯｸM-PRO" w:eastAsia="HG丸ｺﾞｼｯｸM-PRO"/>
          <w:b w:val="1"/>
          <w:sz w:val="40"/>
        </w:rPr>
      </w:pPr>
    </w:p>
    <w:p>
      <w:pPr>
        <w:pStyle w:val="0"/>
        <w:jc w:val="center"/>
        <w:rPr>
          <w:rFonts w:hint="default" w:ascii="HG丸ｺﾞｼｯｸM-PRO" w:hAnsi="HG丸ｺﾞｼｯｸM-PRO" w:eastAsia="HG丸ｺﾞｼｯｸM-PRO"/>
          <w:b w:val="1"/>
          <w:sz w:val="40"/>
        </w:rPr>
      </w:pPr>
    </w:p>
    <w:p>
      <w:pPr>
        <w:pStyle w:val="0"/>
        <w:jc w:val="center"/>
        <w:rPr>
          <w:rFonts w:hint="default" w:ascii="HG丸ｺﾞｼｯｸM-PRO" w:hAnsi="HG丸ｺﾞｼｯｸM-PRO" w:eastAsia="HG丸ｺﾞｼｯｸM-PRO"/>
          <w:b w:val="1"/>
          <w:sz w:val="40"/>
        </w:rPr>
      </w:pPr>
    </w:p>
    <w:p>
      <w:pPr>
        <w:pStyle w:val="0"/>
        <w:jc w:val="center"/>
        <w:rPr>
          <w:rFonts w:hint="default" w:ascii="HG丸ｺﾞｼｯｸM-PRO" w:hAnsi="HG丸ｺﾞｼｯｸM-PRO" w:eastAsia="HG丸ｺﾞｼｯｸM-PRO"/>
          <w:b w:val="1"/>
          <w:sz w:val="40"/>
        </w:rPr>
      </w:pPr>
    </w:p>
    <w:p>
      <w:pPr>
        <w:pStyle w:val="0"/>
        <w:jc w:val="center"/>
        <w:rPr>
          <w:rFonts w:hint="default" w:ascii="HG丸ｺﾞｼｯｸM-PRO" w:hAnsi="HG丸ｺﾞｼｯｸM-PRO" w:eastAsia="HG丸ｺﾞｼｯｸM-PRO"/>
          <w:b w:val="1"/>
          <w:sz w:val="40"/>
        </w:rPr>
      </w:pPr>
      <w:r>
        <w:rPr>
          <w:rFonts w:hint="eastAsia"/>
        </w:rPr>
        <w:br w:type="page"/>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32"/>
        </w:rPr>
        <w:t>第３章　温室効果ガス排出量の現況</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この章では、津山市の温室効果ガス排出量について現状を分析し、計画課題を整理します。なお、第２章同様、データについては把握可能な最新データを活用しています。</w:t>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u w:val="single" w:color="auto"/>
        </w:rPr>
        <w:t>（１）温室効果ガス排出量の推移</w:t>
      </w:r>
    </w:p>
    <w:p>
      <w:pPr>
        <w:pStyle w:val="28"/>
        <w:numPr>
          <w:ilvl w:val="0"/>
          <w:numId w:val="2"/>
        </w:numPr>
        <w:spacing w:before="180" w:beforeLines="50" w:beforeAutospacing="0" w:after="90" w:afterLines="25" w:afterAutospacing="0"/>
        <w:ind w:leftChars="0"/>
        <w:outlineLvl w:val="3"/>
        <w:rPr>
          <w:rFonts w:hint="default" w:ascii="HG丸ｺﾞｼｯｸM-PRO" w:hAnsi="HG丸ｺﾞｼｯｸM-PRO" w:eastAsia="HG丸ｺﾞｼｯｸM-PRO"/>
          <w:b w:val="1"/>
          <w:color w:val="663300"/>
          <w:sz w:val="24"/>
          <w:bdr w:val="single" w:color="663300" w:sz="4" w:space="0"/>
        </w:rPr>
      </w:pPr>
      <w:r>
        <w:rPr>
          <w:rFonts w:hint="eastAsia"/>
        </w:rPr>
        <w:object w:dxaOrig="10425" w:dyaOrig="13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style="mso-wrap-distance-right:16pt;mso-wrap-distance-bottom:0pt;margin-top:27.8pt;mso-position-vertical-relative:text;mso-position-horizontal-relative:text;position:absolute;height:556.35pt;mso-wrap-distance-top:0pt;width:486.45pt;mso-wrap-distance-left:16pt;margin-left:-3.45pt;z-index:5;" o:allowincell="t" o:allowoverlap="t" filled="f" o:spt="75" type="#_x0000_t75">
            <v:fill/>
            <v:stroke joinstyle="miter"/>
            <v:imagedata o:title="" r:id="rId29"/>
            <o:lock v:ext="edit" aspectratio="t"/>
            <w10:wrap type="none" anchorx="text" anchory="text"/>
          </v:shape>
          <o:OLEObject Type="Embed" ProgID="Excel.Sheet.12" ShapeID="_x0000_s1073" DrawAspect="Content" ObjectID="" r:id="rId30"/>
        </w:object>
      </w:r>
      <w:r>
        <w:rPr>
          <w:rFonts w:hint="eastAsia" w:ascii="HG丸ｺﾞｼｯｸM-PRO" w:hAnsi="HG丸ｺﾞｼｯｸM-PRO" w:eastAsia="HG丸ｺﾞｼｯｸM-PRO"/>
          <w:b w:val="1"/>
          <w:color w:val="663300"/>
          <w:sz w:val="24"/>
          <w:bdr w:val="single" w:color="663300" w:sz="4" w:space="0"/>
        </w:rPr>
        <w:t>総排出量</w:t>
      </w:r>
      <w:r>
        <w:rPr>
          <w:rFonts w:hint="eastAsia" w:ascii="HG丸ｺﾞｼｯｸM-PRO" w:hAnsi="HG丸ｺﾞｼｯｸM-PRO" w:eastAsia="HG丸ｺﾞｼｯｸM-PRO"/>
          <w:b w:val="1"/>
          <w:color w:val="663300"/>
          <w:sz w:val="24"/>
          <w:bdr w:val="single" w:color="663300" w:sz="4" w:space="0"/>
        </w:rPr>
        <w:t xml:space="preserve"> </w:t>
      </w:r>
      <w:r>
        <w:rPr>
          <w:rFonts w:hint="eastAsia" w:ascii="HG丸ｺﾞｼｯｸM-PRO" w:hAnsi="HG丸ｺﾞｼｯｸM-PRO" w:eastAsia="HG丸ｺﾞｼｯｸM-PRO"/>
          <w:b w:val="1"/>
          <w:color w:val="663300"/>
          <w:sz w:val="24"/>
          <w:bdr w:val="single" w:color="663300" w:sz="4" w:space="0"/>
        </w:rPr>
        <w:t>◆</w:t>
      </w:r>
      <w:r>
        <w:rPr>
          <w:rFonts w:hint="eastAsia" w:ascii="HG丸ｺﾞｼｯｸM-PRO" w:hAnsi="HG丸ｺﾞｼｯｸM-PRO" w:eastAsia="HG丸ｺﾞｼｯｸM-PRO"/>
          <w:b w:val="1"/>
          <w:color w:val="663300"/>
          <w:sz w:val="24"/>
          <w:bdr w:val="single" w:color="663300" w:sz="4" w:space="0"/>
        </w:rPr>
        <w:t xml:space="preserve"> </w:t>
      </w:r>
    </w:p>
    <w:p>
      <w:pPr>
        <w:pStyle w:val="28"/>
        <w:numPr>
          <w:numId w:val="0"/>
        </w:numPr>
        <w:spacing w:before="180" w:beforeLines="50" w:beforeAutospacing="0" w:after="90" w:afterLines="25" w:afterAutospacing="0"/>
        <w:ind w:left="0" w:leftChars="0" w:firstLineChars="0"/>
        <w:outlineLvl w:val="3"/>
        <w:rPr>
          <w:rFonts w:hint="default" w:ascii="HG丸ｺﾞｼｯｸM-PRO" w:hAnsi="HG丸ｺﾞｼｯｸM-PRO" w:eastAsia="HG丸ｺﾞｼｯｸM-PRO"/>
          <w:b w:val="1"/>
          <w:color w:val="663300"/>
          <w:sz w:val="24"/>
          <w:bdr w:val="single" w:color="663300" w:sz="4" w:space="0"/>
        </w:rPr>
      </w:pPr>
    </w:p>
    <w:p>
      <w:pPr>
        <w:pStyle w:val="28"/>
        <w:numPr>
          <w:numId w:val="0"/>
        </w:numPr>
        <w:spacing w:before="180" w:beforeLines="50" w:beforeAutospacing="0" w:after="90" w:afterLines="25" w:afterAutospacing="0"/>
        <w:ind w:left="0" w:leftChars="0" w:firstLineChars="0"/>
        <w:outlineLvl w:val="3"/>
        <w:rPr>
          <w:rFonts w:hint="default" w:ascii="HG丸ｺﾞｼｯｸM-PRO" w:hAnsi="HG丸ｺﾞｼｯｸM-PRO" w:eastAsia="HG丸ｺﾞｼｯｸM-PRO"/>
          <w:b w:val="1"/>
          <w:color w:val="663300"/>
          <w:sz w:val="24"/>
          <w:bdr w:val="single" w:color="663300" w:sz="4" w:space="0"/>
        </w:rPr>
      </w:pPr>
    </w:p>
    <w:p>
      <w:pPr>
        <w:pStyle w:val="28"/>
        <w:numPr>
          <w:numId w:val="0"/>
        </w:numPr>
        <w:spacing w:before="180" w:beforeLines="50" w:beforeAutospacing="0" w:after="90" w:afterLines="25" w:afterAutospacing="0"/>
        <w:ind w:left="0" w:leftChars="0" w:firstLineChars="0"/>
        <w:outlineLvl w:val="3"/>
        <w:rPr>
          <w:rFonts w:hint="default" w:ascii="HG丸ｺﾞｼｯｸM-PRO" w:hAnsi="HG丸ｺﾞｼｯｸM-PRO" w:eastAsia="HG丸ｺﾞｼｯｸM-PRO"/>
          <w:b w:val="1"/>
          <w:color w:val="663300"/>
          <w:sz w:val="24"/>
          <w:bdr w:val="single" w:color="663300" w:sz="4" w:space="0"/>
        </w:rPr>
      </w:pPr>
    </w:p>
    <w:p>
      <w:pPr>
        <w:pStyle w:val="28"/>
        <w:numPr>
          <w:numId w:val="0"/>
        </w:numPr>
        <w:spacing w:before="180" w:beforeLines="50" w:beforeAutospacing="0" w:after="90" w:afterLines="25" w:afterAutospacing="0"/>
        <w:ind w:left="0" w:leftChars="0" w:firstLineChars="0"/>
        <w:outlineLvl w:val="3"/>
        <w:rPr>
          <w:rFonts w:hint="default" w:ascii="HG丸ｺﾞｼｯｸM-PRO" w:hAnsi="HG丸ｺﾞｼｯｸM-PRO" w:eastAsia="HG丸ｺﾞｼｯｸM-PRO"/>
          <w:b w:val="1"/>
          <w:color w:val="663300"/>
          <w:sz w:val="24"/>
          <w:bdr w:val="single" w:color="663300" w:sz="4" w:space="0"/>
        </w:rPr>
      </w:pPr>
    </w:p>
    <w:p>
      <w:pPr>
        <w:pStyle w:val="28"/>
        <w:numPr>
          <w:numId w:val="0"/>
        </w:numPr>
        <w:spacing w:before="180" w:beforeLines="50" w:beforeAutospacing="0" w:after="90" w:afterLines="25" w:afterAutospacing="0"/>
        <w:ind w:left="0" w:leftChars="0" w:firstLineChars="0"/>
        <w:outlineLvl w:val="3"/>
        <w:rPr>
          <w:rFonts w:hint="default" w:ascii="HG丸ｺﾞｼｯｸM-PRO" w:hAnsi="HG丸ｺﾞｼｯｸM-PRO" w:eastAsia="HG丸ｺﾞｼｯｸM-PRO"/>
          <w:b w:val="1"/>
          <w:color w:val="663300"/>
          <w:sz w:val="24"/>
          <w:bdr w:val="single" w:color="663300" w:sz="4" w:space="0"/>
        </w:rPr>
      </w:pPr>
    </w:p>
    <w:p>
      <w:pPr>
        <w:pStyle w:val="28"/>
        <w:numPr>
          <w:numId w:val="0"/>
        </w:numPr>
        <w:spacing w:before="180" w:beforeLines="50" w:beforeAutospacing="0" w:after="90" w:afterLines="25" w:afterAutospacing="0"/>
        <w:ind w:left="0" w:leftChars="0" w:firstLineChars="0"/>
        <w:outlineLvl w:val="3"/>
        <w:rPr>
          <w:rFonts w:hint="default" w:ascii="HG丸ｺﾞｼｯｸM-PRO" w:hAnsi="HG丸ｺﾞｼｯｸM-PRO" w:eastAsia="HG丸ｺﾞｼｯｸM-PRO"/>
          <w:b w:val="1"/>
          <w:color w:val="663300"/>
          <w:sz w:val="24"/>
          <w:bdr w:val="single" w:color="663300" w:sz="4" w:space="0"/>
        </w:rPr>
      </w:pPr>
    </w:p>
    <w:p>
      <w:pPr>
        <w:pStyle w:val="28"/>
        <w:numPr>
          <w:numId w:val="0"/>
        </w:numPr>
        <w:spacing w:before="180" w:beforeLines="50" w:beforeAutospacing="0" w:after="90" w:afterLines="25" w:afterAutospacing="0"/>
        <w:ind w:left="0" w:leftChars="0" w:firstLineChars="0"/>
        <w:outlineLvl w:val="3"/>
        <w:rPr>
          <w:rFonts w:hint="default" w:ascii="HG丸ｺﾞｼｯｸM-PRO" w:hAnsi="HG丸ｺﾞｼｯｸM-PRO" w:eastAsia="HG丸ｺﾞｼｯｸM-PRO"/>
          <w:b w:val="1"/>
          <w:color w:val="663300"/>
          <w:sz w:val="24"/>
          <w:bdr w:val="single" w:color="663300" w:sz="4" w:space="0"/>
        </w:rPr>
      </w:pPr>
      <w:r>
        <w:rPr>
          <w:rFonts w:hint="eastAsia"/>
        </w:rPr>
        <mc:AlternateContent>
          <mc:Choice Requires="wps">
            <w:drawing>
              <wp:anchor distT="0" distB="0" distL="203200" distR="203200" simplePos="0" relativeHeight="73" behindDoc="0" locked="0" layoutInCell="1" hidden="0" allowOverlap="1">
                <wp:simplePos x="0" y="0"/>
                <wp:positionH relativeFrom="column">
                  <wp:posOffset>1908175</wp:posOffset>
                </wp:positionH>
                <wp:positionV relativeFrom="paragraph">
                  <wp:posOffset>171450</wp:posOffset>
                </wp:positionV>
                <wp:extent cx="0" cy="215900"/>
                <wp:effectExtent l="635" t="0" r="29845" b="10160"/>
                <wp:wrapNone/>
                <wp:docPr id="1074" name="オブジェクト 0"/>
                <a:graphic xmlns:a="http://schemas.openxmlformats.org/drawingml/2006/main">
                  <a:graphicData uri="http://schemas.microsoft.com/office/word/2010/wordprocessingShape">
                    <wps:wsp>
                      <wps:cNvPr id="1074" name="オブジェクト 0"/>
                      <wps:cNvSpPr/>
                      <wps:spPr>
                        <a:xfrm>
                          <a:off x="0" y="0"/>
                          <a:ext cx="0" cy="215900"/>
                        </a:xfrm>
                        <a:prstGeom prst="line">
                          <a:avLst/>
                        </a:prstGeom>
                        <a:ln w="9525" cap="flat" cmpd="sng" algn="ctr">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73;" o:spid="_x0000_s1074" o:allowincell="t" o:allowoverlap="t" filled="f" stroked="t" strokecolor="#000000 [3213]" strokeweight="0.75pt" o:spt="20" from="150.25pt,13.5pt" to="150.25pt,30.5pt">
                <v:fill/>
                <v:stroke linestyle="single" endcap="flat" dashstyle="solid" filltype="solid"/>
                <v:textbox style="layout-flow:horizontal;"/>
                <v:imagedata o:title=""/>
                <w10:wrap type="none" anchorx="text" anchory="text"/>
              </v:line>
            </w:pict>
          </mc:Fallback>
        </mc:AlternateContent>
      </w:r>
    </w:p>
    <w:p>
      <w:pPr>
        <w:pStyle w:val="28"/>
        <w:numPr>
          <w:numId w:val="0"/>
        </w:numPr>
        <w:spacing w:before="180" w:beforeLines="50" w:beforeAutospacing="0" w:after="90" w:afterLines="25" w:afterAutospacing="0"/>
        <w:ind w:left="0" w:leftChars="0" w:firstLineChars="0"/>
        <w:outlineLvl w:val="3"/>
        <w:rPr>
          <w:rFonts w:hint="default" w:ascii="HG丸ｺﾞｼｯｸM-PRO" w:hAnsi="HG丸ｺﾞｼｯｸM-PRO" w:eastAsia="HG丸ｺﾞｼｯｸM-PRO"/>
          <w:b w:val="1"/>
          <w:color w:val="663300"/>
          <w:sz w:val="24"/>
          <w:bdr w:val="single" w:color="663300" w:sz="4" w:space="0"/>
        </w:rPr>
      </w:pPr>
    </w:p>
    <w:p>
      <w:pPr>
        <w:pStyle w:val="28"/>
        <w:numPr>
          <w:numId w:val="0"/>
        </w:numPr>
        <w:spacing w:before="180" w:beforeLines="50" w:beforeAutospacing="0" w:after="90" w:afterLines="25" w:afterAutospacing="0"/>
        <w:ind w:left="0" w:leftChars="0" w:firstLineChars="0"/>
        <w:outlineLvl w:val="3"/>
        <w:rPr>
          <w:rFonts w:hint="default" w:ascii="HG丸ｺﾞｼｯｸM-PRO" w:hAnsi="HG丸ｺﾞｼｯｸM-PRO" w:eastAsia="HG丸ｺﾞｼｯｸM-PRO"/>
          <w:b w:val="1"/>
          <w:color w:val="663300"/>
          <w:sz w:val="24"/>
          <w:bdr w:val="single" w:color="663300" w:sz="4" w:space="0"/>
        </w:rPr>
      </w:pPr>
    </w:p>
    <w:p>
      <w:pPr>
        <w:pStyle w:val="28"/>
        <w:numPr>
          <w:numId w:val="0"/>
        </w:numPr>
        <w:spacing w:before="180" w:beforeLines="50" w:beforeAutospacing="0" w:after="90" w:afterLines="25" w:afterAutospacing="0"/>
        <w:ind w:left="0" w:leftChars="0" w:firstLineChars="0"/>
        <w:outlineLvl w:val="3"/>
        <w:rPr>
          <w:rFonts w:hint="default" w:ascii="HG丸ｺﾞｼｯｸM-PRO" w:hAnsi="HG丸ｺﾞｼｯｸM-PRO" w:eastAsia="HG丸ｺﾞｼｯｸM-PRO"/>
          <w:b w:val="1"/>
          <w:color w:val="663300"/>
          <w:sz w:val="24"/>
          <w:bdr w:val="single" w:color="663300" w:sz="4" w:space="0"/>
        </w:rPr>
      </w:pPr>
    </w:p>
    <w:p>
      <w:pPr>
        <w:pStyle w:val="28"/>
        <w:numPr>
          <w:numId w:val="0"/>
        </w:numPr>
        <w:spacing w:before="180" w:beforeLines="50" w:beforeAutospacing="0" w:after="90" w:afterLines="25" w:afterAutospacing="0"/>
        <w:ind w:left="0" w:leftChars="0" w:firstLineChars="0"/>
        <w:outlineLvl w:val="3"/>
        <w:rPr>
          <w:rFonts w:hint="default" w:ascii="HG丸ｺﾞｼｯｸM-PRO" w:hAnsi="HG丸ｺﾞｼｯｸM-PRO" w:eastAsia="HG丸ｺﾞｼｯｸM-PRO"/>
          <w:b w:val="1"/>
          <w:color w:val="663300"/>
          <w:sz w:val="24"/>
          <w:bdr w:val="single" w:color="663300" w:sz="4" w:space="0"/>
        </w:rPr>
      </w:pPr>
    </w:p>
    <w:p>
      <w:pPr>
        <w:pStyle w:val="28"/>
        <w:numPr>
          <w:numId w:val="0"/>
        </w:numPr>
        <w:spacing w:before="180" w:beforeLines="50" w:beforeAutospacing="0" w:after="90" w:afterLines="25" w:afterAutospacing="0"/>
        <w:ind w:left="0" w:leftChars="0" w:firstLineChars="0"/>
        <w:outlineLvl w:val="3"/>
        <w:rPr>
          <w:rFonts w:hint="default" w:ascii="HG丸ｺﾞｼｯｸM-PRO" w:hAnsi="HG丸ｺﾞｼｯｸM-PRO" w:eastAsia="HG丸ｺﾞｼｯｸM-PRO"/>
          <w:b w:val="1"/>
          <w:color w:val="663300"/>
          <w:sz w:val="24"/>
          <w:bdr w:val="single" w:color="663300" w:sz="4" w:space="0"/>
        </w:rPr>
      </w:pPr>
    </w:p>
    <w:p>
      <w:pPr>
        <w:pStyle w:val="28"/>
        <w:numPr>
          <w:numId w:val="0"/>
        </w:numPr>
        <w:spacing w:before="180" w:beforeLines="50" w:beforeAutospacing="0" w:after="90" w:afterLines="25" w:afterAutospacing="0"/>
        <w:ind w:left="0" w:leftChars="0" w:firstLineChars="0"/>
        <w:outlineLvl w:val="3"/>
        <w:rPr>
          <w:rFonts w:hint="default" w:ascii="HG丸ｺﾞｼｯｸM-PRO" w:hAnsi="HG丸ｺﾞｼｯｸM-PRO" w:eastAsia="HG丸ｺﾞｼｯｸM-PRO"/>
          <w:b w:val="1"/>
          <w:color w:val="663300"/>
          <w:sz w:val="24"/>
          <w:bdr w:val="single" w:color="663300" w:sz="4" w:space="0"/>
        </w:rPr>
      </w:pPr>
    </w:p>
    <w:p>
      <w:pPr>
        <w:pStyle w:val="28"/>
        <w:numPr>
          <w:numId w:val="0"/>
        </w:numPr>
        <w:spacing w:before="180" w:beforeLines="50" w:beforeAutospacing="0" w:after="90" w:afterLines="25" w:afterAutospacing="0"/>
        <w:ind w:left="0" w:leftChars="0" w:firstLineChars="0"/>
        <w:outlineLvl w:val="3"/>
        <w:rPr>
          <w:rFonts w:hint="default" w:ascii="HG丸ｺﾞｼｯｸM-PRO" w:hAnsi="HG丸ｺﾞｼｯｸM-PRO" w:eastAsia="HG丸ｺﾞｼｯｸM-PRO"/>
          <w:b w:val="1"/>
          <w:color w:val="663300"/>
          <w:sz w:val="24"/>
          <w:bdr w:val="single" w:color="663300" w:sz="4" w:space="0"/>
        </w:rPr>
      </w:pPr>
    </w:p>
    <w:p>
      <w:pPr>
        <w:pStyle w:val="28"/>
        <w:numPr>
          <w:numId w:val="0"/>
        </w:numPr>
        <w:spacing w:before="180" w:beforeLines="50" w:beforeAutospacing="0" w:after="90" w:afterLines="25" w:afterAutospacing="0"/>
        <w:ind w:left="0" w:leftChars="0" w:firstLineChars="0"/>
        <w:outlineLvl w:val="3"/>
        <w:rPr>
          <w:rFonts w:hint="default" w:ascii="HG丸ｺﾞｼｯｸM-PRO" w:hAnsi="HG丸ｺﾞｼｯｸM-PRO" w:eastAsia="HG丸ｺﾞｼｯｸM-PRO"/>
          <w:b w:val="1"/>
          <w:color w:val="663300"/>
          <w:sz w:val="24"/>
          <w:bdr w:val="single" w:color="663300" w:sz="4" w:space="0"/>
        </w:rPr>
      </w:pPr>
    </w:p>
    <w:p>
      <w:pPr>
        <w:pStyle w:val="28"/>
        <w:numPr>
          <w:numId w:val="0"/>
        </w:numPr>
        <w:spacing w:before="180" w:beforeLines="50" w:beforeAutospacing="0" w:after="90" w:afterLines="25" w:afterAutospacing="0"/>
        <w:ind w:left="0" w:leftChars="0" w:firstLineChars="0"/>
        <w:outlineLvl w:val="3"/>
        <w:rPr>
          <w:rFonts w:hint="default" w:ascii="HG丸ｺﾞｼｯｸM-PRO" w:hAnsi="HG丸ｺﾞｼｯｸM-PRO" w:eastAsia="HG丸ｺﾞｼｯｸM-PRO"/>
          <w:b w:val="1"/>
          <w:color w:val="663300"/>
          <w:sz w:val="24"/>
          <w:bdr w:val="single" w:color="663300" w:sz="4" w:space="0"/>
        </w:rPr>
      </w:pPr>
    </w:p>
    <w:p>
      <w:pPr>
        <w:pStyle w:val="28"/>
        <w:numPr>
          <w:numId w:val="0"/>
        </w:numPr>
        <w:spacing w:before="180" w:beforeLines="50" w:beforeAutospacing="0" w:after="90" w:afterLines="25" w:afterAutospacing="0"/>
        <w:ind w:left="0" w:leftChars="0" w:firstLineChars="0"/>
        <w:outlineLvl w:val="3"/>
        <w:rPr>
          <w:rFonts w:hint="default" w:ascii="HG丸ｺﾞｼｯｸM-PRO" w:hAnsi="HG丸ｺﾞｼｯｸM-PRO" w:eastAsia="HG丸ｺﾞｼｯｸM-PRO"/>
          <w:b w:val="1"/>
          <w:color w:val="663300"/>
          <w:sz w:val="24"/>
          <w:bdr w:val="single" w:color="663300" w:sz="4" w:space="0"/>
        </w:rPr>
      </w:pPr>
    </w:p>
    <w:p>
      <w:pPr>
        <w:pStyle w:val="28"/>
        <w:numPr>
          <w:numId w:val="0"/>
        </w:numPr>
        <w:spacing w:before="180" w:beforeLines="50" w:beforeAutospacing="0" w:after="90" w:afterLines="25" w:afterAutospacing="0"/>
        <w:ind w:left="0" w:leftChars="0" w:firstLineChars="0"/>
        <w:outlineLvl w:val="3"/>
        <w:rPr>
          <w:rFonts w:hint="default" w:ascii="HG丸ｺﾞｼｯｸM-PRO" w:hAnsi="HG丸ｺﾞｼｯｸM-PRO" w:eastAsia="HG丸ｺﾞｼｯｸM-PRO"/>
          <w:b w:val="1"/>
          <w:color w:val="663300"/>
          <w:sz w:val="24"/>
          <w:bdr w:val="single" w:color="663300" w:sz="4" w:space="0"/>
        </w:rPr>
      </w:pPr>
      <w:r>
        <w:rPr>
          <w:rFonts w:hint="eastAsia"/>
        </w:rPr>
        <mc:AlternateContent>
          <mc:Choice Requires="wps">
            <w:drawing>
              <wp:anchor distT="0" distB="0" distL="203200" distR="203200" simplePos="0" relativeHeight="74" behindDoc="0" locked="0" layoutInCell="1" hidden="0" allowOverlap="1">
                <wp:simplePos x="0" y="0"/>
                <wp:positionH relativeFrom="column">
                  <wp:posOffset>1908175</wp:posOffset>
                </wp:positionH>
                <wp:positionV relativeFrom="paragraph">
                  <wp:posOffset>171450</wp:posOffset>
                </wp:positionV>
                <wp:extent cx="0" cy="342900"/>
                <wp:effectExtent l="635" t="0" r="29845" b="10160"/>
                <wp:wrapNone/>
                <wp:docPr id="1075" name="オブジェクト 0"/>
                <a:graphic xmlns:a="http://schemas.openxmlformats.org/drawingml/2006/main">
                  <a:graphicData uri="http://schemas.microsoft.com/office/word/2010/wordprocessingShape">
                    <wps:wsp>
                      <wps:cNvPr id="1075" name="オブジェクト 0"/>
                      <wps:cNvSpPr/>
                      <wps:spPr>
                        <a:xfrm>
                          <a:off x="0" y="0"/>
                          <a:ext cx="0" cy="342900"/>
                        </a:xfrm>
                        <a:prstGeom prst="line">
                          <a:avLst/>
                        </a:prstGeom>
                        <a:ln w="9525" cap="flat" cmpd="sng" algn="ctr">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74;" o:spid="_x0000_s1075" o:allowincell="t" o:allowoverlap="t" filled="f" stroked="t" strokecolor="#000000 [3213]" strokeweight="0.75pt" o:spt="20" from="150.25pt,13.5pt" to="150.25pt,40.5pt">
                <v:fill/>
                <v:stroke linestyle="single" endcap="flat" dashstyle="solid" filltype="solid"/>
                <v:textbox style="layout-flow:horizontal;"/>
                <v:imagedata o:title=""/>
                <w10:wrap type="none" anchorx="text" anchory="text"/>
              </v:line>
            </w:pict>
          </mc:Fallback>
        </mc:AlternateContent>
      </w:r>
    </w:p>
    <w:p>
      <w:pPr>
        <w:pStyle w:val="28"/>
        <w:numPr>
          <w:numId w:val="0"/>
        </w:numPr>
        <w:spacing w:before="180" w:beforeLines="50" w:beforeAutospacing="0" w:after="90" w:afterLines="25" w:afterAutospacing="0"/>
        <w:ind w:left="0" w:leftChars="0" w:firstLineChars="0"/>
        <w:outlineLvl w:val="3"/>
        <w:rPr>
          <w:rFonts w:hint="default" w:ascii="HG丸ｺﾞｼｯｸM-PRO" w:hAnsi="HG丸ｺﾞｼｯｸM-PRO" w:eastAsia="HG丸ｺﾞｼｯｸM-PRO"/>
          <w:b w:val="1"/>
          <w:color w:val="663300"/>
          <w:sz w:val="24"/>
          <w:bdr w:val="single" w:color="663300" w:sz="4" w:space="0"/>
        </w:rPr>
      </w:pPr>
    </w:p>
    <w:p>
      <w:pPr>
        <w:pStyle w:val="28"/>
        <w:numPr>
          <w:numId w:val="0"/>
        </w:numPr>
        <w:spacing w:before="180" w:beforeLines="50" w:beforeAutospacing="0" w:after="90" w:afterLines="25" w:afterAutospacing="0"/>
        <w:ind w:left="0" w:leftChars="0" w:firstLineChars="0"/>
        <w:outlineLvl w:val="3"/>
        <w:rPr>
          <w:rFonts w:hint="default" w:ascii="HG丸ｺﾞｼｯｸM-PRO" w:hAnsi="HG丸ｺﾞｼｯｸM-PRO" w:eastAsia="HG丸ｺﾞｼｯｸM-PRO"/>
          <w:b w:val="1"/>
          <w:color w:val="663300"/>
          <w:sz w:val="24"/>
          <w:bdr w:val="single" w:color="663300" w:sz="4" w:space="0"/>
        </w:rPr>
      </w:pPr>
    </w:p>
    <w:p>
      <w:pPr>
        <w:pStyle w:val="4"/>
        <w:spacing w:before="180" w:beforeLines="0" w:beforeAutospacing="0" w:after="90" w:afterLines="0" w:afterAutospacing="0"/>
        <w:rPr>
          <w:rFonts w:hint="default"/>
        </w:rPr>
      </w:pPr>
      <w:r>
        <w:rPr>
          <w:rFonts w:hint="eastAsia"/>
        </w:rPr>
        <w:t>◆</w:t>
      </w:r>
      <w:r>
        <w:rPr>
          <w:rFonts w:hint="eastAsia"/>
        </w:rPr>
        <w:t xml:space="preserve"> </w:t>
      </w:r>
      <w:r>
        <w:rPr>
          <w:rFonts w:hint="eastAsia"/>
        </w:rPr>
        <w:t>部門・分野別排出量</w:t>
      </w:r>
      <w:r>
        <w:rPr>
          <w:rFonts w:hint="eastAsia"/>
        </w:rPr>
        <w:t xml:space="preserve"> </w:t>
      </w:r>
      <w:r>
        <w:rPr>
          <w:rFonts w:hint="eastAsia"/>
        </w:rPr>
        <w:t>◆</w:t>
      </w:r>
      <w:r>
        <w:rPr>
          <w:rFonts w:hint="eastAsia"/>
        </w:rPr>
        <w:t xml:space="preserve"> </w:t>
      </w:r>
    </w:p>
    <w:p>
      <w:pPr>
        <w:pStyle w:val="0"/>
        <w:ind w:left="210" w:leftChars="100" w:firstLine="210" w:firstLineChars="100"/>
        <w:rPr>
          <w:rFonts w:hint="default" w:ascii="ＭＳ 明朝" w:hAnsi="ＭＳ 明朝"/>
        </w:rPr>
      </w:pPr>
      <w:r>
        <w:rPr>
          <w:rFonts w:hint="eastAsia" w:ascii="ＭＳ 明朝" w:hAnsi="ＭＳ 明朝"/>
        </w:rPr>
        <mc:AlternateContent>
          <mc:Choice Requires="wps">
            <w:drawing>
              <wp:anchor distT="0" distB="0" distL="114300" distR="114300" simplePos="0" relativeHeight="63" behindDoc="0" locked="0" layoutInCell="1" hidden="0" allowOverlap="1">
                <wp:simplePos x="0" y="0"/>
                <wp:positionH relativeFrom="column">
                  <wp:posOffset>80645</wp:posOffset>
                </wp:positionH>
                <wp:positionV relativeFrom="paragraph">
                  <wp:posOffset>130810</wp:posOffset>
                </wp:positionV>
                <wp:extent cx="1835785" cy="304800"/>
                <wp:effectExtent l="635" t="635" r="635" b="635"/>
                <wp:wrapNone/>
                <wp:docPr id="1076" name="四角形: 角を丸くする 114"/>
                <a:graphic xmlns:a="http://schemas.openxmlformats.org/drawingml/2006/main">
                  <a:graphicData uri="http://schemas.microsoft.com/office/word/2010/wordprocessingShape">
                    <wps:wsp>
                      <wps:cNvPr id="1076" name="四角形: 角を丸くする 114"/>
                      <wps:cNvSpPr/>
                      <wps:spPr>
                        <a:xfrm>
                          <a:off x="0" y="0"/>
                          <a:ext cx="1835785" cy="304800"/>
                        </a:xfrm>
                        <a:prstGeom prst="roundRect">
                          <a:avLst>
                            <a:gd name="adj" fmla="val 50000"/>
                          </a:avLst>
                        </a:prstGeom>
                        <a:solidFill>
                          <a:srgbClr val="FF8B8B"/>
                        </a:solidFill>
                        <a:ln w="12700" cap="flat" cmpd="sng" algn="ctr">
                          <a:noFill/>
                          <a:prstDash val="solid"/>
                          <a:miter lim="800000"/>
                        </a:ln>
                        <a:effectLst/>
                      </wps:spPr>
                      <wps:txbx>
                        <w:txbxContent>
                          <w:p>
                            <w:pPr>
                              <w:pStyle w:val="26"/>
                              <w:ind w:left="210"/>
                              <w:rPr>
                                <w:rFonts w:hint="default"/>
                              </w:rPr>
                            </w:pPr>
                            <w:r>
                              <w:rPr>
                                <w:rFonts w:hint="eastAsia"/>
                              </w:rPr>
                              <w:t>①</w:t>
                            </w:r>
                            <w:r>
                              <w:rPr>
                                <w:rFonts w:hint="eastAsia"/>
                              </w:rPr>
                              <w:t xml:space="preserve"> </w:t>
                            </w:r>
                            <w:r>
                              <w:rPr>
                                <w:rFonts w:hint="eastAsia"/>
                              </w:rPr>
                              <w:t>産業部門（</w:t>
                            </w:r>
                            <w:r>
                              <w:rPr>
                                <w:rFonts w:hint="default"/>
                              </w:rPr>
                              <w:t>製造業）</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114" style="mso-wrap-distance-right:9pt;mso-wrap-distance-bottom:0pt;margin-top:10.3pt;mso-position-vertical-relative:text;mso-position-horizontal-relative:text;v-text-anchor:middle;position:absolute;height:24pt;mso-wrap-distance-top:0pt;width:144.55000000000001pt;mso-wrap-distance-left:9pt;margin-left:6.35pt;z-index:63;" o:spid="_x0000_s1076" o:allowincell="t" o:allowoverlap="t" filled="t" fillcolor="#ff8b8b" stroked="f" strokeweight="1pt" o:spt="2" arcsize="32768f">
                <v:fill/>
                <v:stroke linestyle="single" miterlimit="8" endcap="flat" dashstyle="solid"/>
                <v:textbox style="layout-flow:horizontal;" inset="0mm,0mm,0mm,0mm">
                  <w:txbxContent>
                    <w:p>
                      <w:pPr>
                        <w:pStyle w:val="26"/>
                        <w:ind w:left="210"/>
                        <w:rPr>
                          <w:rFonts w:hint="default"/>
                        </w:rPr>
                      </w:pPr>
                      <w:r>
                        <w:rPr>
                          <w:rFonts w:hint="eastAsia"/>
                        </w:rPr>
                        <w:t>①</w:t>
                      </w:r>
                      <w:r>
                        <w:rPr>
                          <w:rFonts w:hint="eastAsia"/>
                        </w:rPr>
                        <w:t xml:space="preserve"> </w:t>
                      </w:r>
                      <w:r>
                        <w:rPr>
                          <w:rFonts w:hint="eastAsia"/>
                        </w:rPr>
                        <w:t>産業部門（</w:t>
                      </w:r>
                      <w:r>
                        <w:rPr>
                          <w:rFonts w:hint="default"/>
                        </w:rPr>
                        <w:t>製造業）</w:t>
                      </w:r>
                    </w:p>
                  </w:txbxContent>
                </v:textbox>
                <v:imagedata o:title=""/>
                <w10:wrap type="none" anchorx="text" anchory="text"/>
              </v:roundrect>
            </w:pict>
          </mc:Fallback>
        </mc:AlternateContent>
      </w:r>
    </w:p>
    <w:p>
      <w:pPr>
        <w:pStyle w:val="0"/>
        <w:ind w:left="210" w:leftChars="100"/>
        <w:rPr>
          <w:rFonts w:hint="default"/>
          <w:b w:val="1"/>
        </w:rPr>
      </w:pPr>
    </w:p>
    <w:p>
      <w:pPr>
        <w:pStyle w:val="0"/>
        <w:ind w:left="210" w:leftChars="100"/>
        <w:rPr>
          <w:rFonts w:hint="default" w:ascii="ＭＳ ゴシック" w:hAnsi="ＭＳ ゴシック" w:eastAsia="ＭＳ ゴシック"/>
        </w:rPr>
      </w:pPr>
      <w:r>
        <w:rPr>
          <w:rFonts w:hint="eastAsia" w:ascii="HG丸ｺﾞｼｯｸM-PRO" w:hAnsi="HG丸ｺﾞｼｯｸM-PRO" w:eastAsia="HG丸ｺﾞｼｯｸM-PRO"/>
        </w:rPr>
        <w:t>　　</w:t>
      </w:r>
      <w:r>
        <w:rPr>
          <w:rFonts w:hint="eastAsia" w:ascii="ＭＳ ゴシック" w:hAnsi="ＭＳ ゴシック" w:eastAsia="ＭＳ ゴシック"/>
        </w:rPr>
        <w:t>　部門別の温室効果ガス排出量推計（産業部門</w:t>
      </w:r>
      <w:r>
        <w:rPr>
          <w:rFonts w:hint="eastAsia" w:ascii="ＭＳ ゴシック" w:hAnsi="ＭＳ ゴシック" w:eastAsia="ＭＳ ゴシック"/>
        </w:rPr>
        <w:t>(</w:t>
      </w:r>
      <w:r>
        <w:rPr>
          <w:rFonts w:hint="eastAsia" w:ascii="ＭＳ ゴシック" w:hAnsi="ＭＳ ゴシック" w:eastAsia="ＭＳ ゴシック"/>
        </w:rPr>
        <w:t>製造業</w:t>
      </w:r>
      <w:r>
        <w:rPr>
          <w:rFonts w:hint="eastAsia" w:ascii="ＭＳ ゴシック" w:hAnsi="ＭＳ ゴシック" w:eastAsia="ＭＳ ゴシック"/>
        </w:rPr>
        <w:t>)</w:t>
      </w:r>
      <w:r>
        <w:rPr>
          <w:rFonts w:hint="eastAsia" w:ascii="ＭＳ ゴシック" w:hAnsi="ＭＳ ゴシック" w:eastAsia="ＭＳ ゴシック"/>
        </w:rPr>
        <w:t>）</w:t>
      </w:r>
    </w:p>
    <w:tbl>
      <w:tblPr>
        <w:tblStyle w:val="11"/>
        <w:tblW w:w="7082" w:type="dxa"/>
        <w:tblInd w:w="912" w:type="dxa"/>
        <w:tblLayout w:type="fixed"/>
        <w:tblCellMar>
          <w:left w:w="99" w:type="dxa"/>
          <w:right w:w="99" w:type="dxa"/>
        </w:tblCellMar>
        <w:tblLook w:firstRow="0" w:lastRow="0" w:firstColumn="0" w:lastColumn="0" w:noHBand="0" w:noVBand="0" w:val="0000"/>
      </w:tblPr>
      <w:tblGrid>
        <w:gridCol w:w="4328"/>
        <w:gridCol w:w="1377"/>
        <w:gridCol w:w="1377"/>
      </w:tblGrid>
      <w:tr>
        <w:trPr>
          <w:trHeight w:val="529" w:hRule="atLeast"/>
        </w:trPr>
        <w:tc>
          <w:tcPr>
            <w:tcW w:w="4328" w:type="dxa"/>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年　　度</w:t>
            </w:r>
          </w:p>
        </w:tc>
        <w:tc>
          <w:tcPr>
            <w:tcW w:w="1377" w:type="dxa"/>
            <w:tcBorders>
              <w:top w:val="single" w:color="auto" w:sz="4" w:space="0"/>
              <w:left w:val="nil"/>
              <w:bottom w:val="single" w:color="auto" w:sz="4" w:space="0"/>
              <w:right w:val="trip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基準年</w:t>
            </w:r>
          </w:p>
          <w:p>
            <w:pPr>
              <w:pStyle w:val="0"/>
              <w:snapToGrid w:val="0"/>
              <w:spacing w:line="240" w:lineRule="atLeast"/>
              <w:jc w:val="center"/>
              <w:rPr>
                <w:rFonts w:hint="default" w:ascii="ＭＳ Ｐ明朝" w:hAnsi="ＭＳ Ｐ明朝" w:eastAsia="ＭＳ Ｐ明朝"/>
                <w:kern w:val="0"/>
                <w:sz w:val="20"/>
              </w:rPr>
            </w:pPr>
            <w:r>
              <w:rPr>
                <w:rFonts w:hint="default" w:ascii="ＭＳ Ｐ明朝" w:hAnsi="ＭＳ Ｐ明朝" w:eastAsia="ＭＳ Ｐ明朝"/>
                <w:kern w:val="0"/>
                <w:sz w:val="20"/>
              </w:rPr>
              <w:t>2013</w:t>
            </w:r>
            <w:r>
              <w:rPr>
                <w:rFonts w:hint="eastAsia" w:ascii="ＭＳ Ｐ明朝" w:hAnsi="ＭＳ Ｐ明朝" w:eastAsia="ＭＳ Ｐ明朝"/>
                <w:kern w:val="0"/>
                <w:sz w:val="20"/>
              </w:rPr>
              <w:t>年度</w:t>
            </w:r>
          </w:p>
        </w:tc>
        <w:tc>
          <w:tcPr>
            <w:tcW w:w="1377"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現況年</w:t>
            </w:r>
          </w:p>
          <w:p>
            <w:pPr>
              <w:pStyle w:val="0"/>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2017</w:t>
            </w:r>
            <w:r>
              <w:rPr>
                <w:rFonts w:hint="eastAsia" w:ascii="ＭＳ Ｐ明朝" w:hAnsi="ＭＳ Ｐ明朝" w:eastAsia="ＭＳ Ｐ明朝"/>
                <w:kern w:val="0"/>
                <w:sz w:val="20"/>
              </w:rPr>
              <w:t>年度</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温室効果ガス排出量（千</w:t>
            </w:r>
            <w:r>
              <w:rPr>
                <w:rFonts w:hint="eastAsia" w:ascii="ＭＳ Ｐ明朝" w:hAnsi="ＭＳ Ｐ明朝" w:eastAsia="ＭＳ Ｐ明朝"/>
                <w:kern w:val="0"/>
                <w:sz w:val="20"/>
              </w:rPr>
              <w:t>t-CO</w:t>
            </w:r>
            <w:r>
              <w:rPr>
                <w:rFonts w:hint="eastAsia" w:ascii="ＭＳ Ｐ明朝" w:hAnsi="ＭＳ Ｐ明朝" w:eastAsia="ＭＳ Ｐ明朝"/>
                <w:kern w:val="0"/>
                <w:sz w:val="20"/>
                <w:vertAlign w:val="subscript"/>
              </w:rPr>
              <w:t>2</w:t>
            </w:r>
            <w:r>
              <w:rPr>
                <w:rFonts w:hint="eastAsia" w:ascii="ＭＳ Ｐ明朝" w:hAnsi="ＭＳ Ｐ明朝" w:eastAsia="ＭＳ Ｐ明朝"/>
                <w:kern w:val="0"/>
                <w:sz w:val="20"/>
              </w:rPr>
              <w:t>）</w:t>
            </w:r>
          </w:p>
        </w:tc>
        <w:tc>
          <w:tcPr>
            <w:tcW w:w="1377" w:type="dxa"/>
            <w:tcBorders>
              <w:top w:val="single" w:color="auto" w:sz="4" w:space="0"/>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default" w:ascii="ＭＳ Ｐ明朝" w:hAnsi="ＭＳ Ｐ明朝" w:eastAsia="ＭＳ Ｐ明朝"/>
                <w:kern w:val="0"/>
                <w:sz w:val="20"/>
              </w:rPr>
              <w:t>300.3</w:t>
            </w:r>
          </w:p>
        </w:tc>
        <w:tc>
          <w:tcPr>
            <w:tcW w:w="1377" w:type="dxa"/>
            <w:tcBorders>
              <w:top w:val="single" w:color="auto" w:sz="6" w:space="0"/>
              <w:left w:val="triple" w:color="auto" w:sz="4" w:space="0"/>
              <w:bottom w:val="single" w:color="auto" w:sz="6"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291.6</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参考①</w:t>
            </w:r>
            <w:r>
              <w:rPr>
                <w:rFonts w:hint="eastAsia" w:ascii="ＭＳ Ｐ明朝" w:hAnsi="ＭＳ Ｐ明朝" w:eastAsia="ＭＳ Ｐ明朝"/>
                <w:kern w:val="0"/>
                <w:sz w:val="20"/>
              </w:rPr>
              <w:t xml:space="preserve"> </w:t>
            </w:r>
            <w:r>
              <w:rPr>
                <w:rFonts w:hint="eastAsia" w:ascii="ＭＳ Ｐ明朝" w:hAnsi="ＭＳ Ｐ明朝" w:eastAsia="ＭＳ Ｐ明朝"/>
                <w:kern w:val="0"/>
                <w:sz w:val="20"/>
              </w:rPr>
              <w:t>製造品出荷額等（万円）</w:t>
            </w:r>
          </w:p>
        </w:tc>
        <w:tc>
          <w:tcPr>
            <w:tcW w:w="1377" w:type="dxa"/>
            <w:tcBorders>
              <w:top w:val="nil"/>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default" w:ascii="ＭＳ Ｐ明朝" w:hAnsi="ＭＳ Ｐ明朝" w:eastAsia="ＭＳ Ｐ明朝"/>
                <w:kern w:val="0"/>
                <w:sz w:val="20"/>
              </w:rPr>
              <w:t>17,901,586</w:t>
            </w:r>
          </w:p>
        </w:tc>
        <w:tc>
          <w:tcPr>
            <w:tcW w:w="1377" w:type="dxa"/>
            <w:tcBorders>
              <w:top w:val="single" w:color="auto" w:sz="6" w:space="0"/>
              <w:left w:val="triple" w:color="auto" w:sz="4" w:space="0"/>
              <w:bottom w:val="single" w:color="auto" w:sz="6"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20,133,619</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参考②</w:t>
            </w:r>
            <w:r>
              <w:rPr>
                <w:rFonts w:hint="eastAsia" w:ascii="ＭＳ Ｐ明朝" w:hAnsi="ＭＳ Ｐ明朝" w:eastAsia="ＭＳ Ｐ明朝"/>
                <w:kern w:val="0"/>
                <w:sz w:val="20"/>
              </w:rPr>
              <w:t xml:space="preserve"> </w:t>
            </w:r>
            <w:r>
              <w:rPr>
                <w:rFonts w:hint="eastAsia" w:ascii="ＭＳ Ｐ明朝" w:hAnsi="ＭＳ Ｐ明朝" w:eastAsia="ＭＳ Ｐ明朝"/>
                <w:kern w:val="0"/>
                <w:sz w:val="20"/>
              </w:rPr>
              <w:t>電力の排出係数（千</w:t>
            </w:r>
            <w:r>
              <w:rPr>
                <w:rFonts w:hint="eastAsia" w:ascii="ＭＳ Ｐ明朝" w:hAnsi="ＭＳ Ｐ明朝" w:eastAsia="ＭＳ Ｐ明朝"/>
                <w:kern w:val="0"/>
                <w:sz w:val="20"/>
              </w:rPr>
              <w:t>t</w:t>
            </w:r>
            <w:r>
              <w:rPr>
                <w:rFonts w:hint="default" w:ascii="ＭＳ Ｐ明朝" w:hAnsi="ＭＳ Ｐ明朝" w:eastAsia="ＭＳ Ｐ明朝"/>
                <w:kern w:val="0"/>
                <w:sz w:val="20"/>
              </w:rPr>
              <w:t>-</w:t>
            </w:r>
            <w:r>
              <w:rPr>
                <w:rFonts w:hint="eastAsia" w:ascii="ＭＳ Ｐ明朝" w:hAnsi="ＭＳ Ｐ明朝" w:eastAsia="ＭＳ Ｐ明朝"/>
                <w:kern w:val="0"/>
                <w:sz w:val="20"/>
              </w:rPr>
              <w:t>CO</w:t>
            </w:r>
            <w:r>
              <w:rPr>
                <w:rFonts w:hint="eastAsia" w:ascii="ＭＳ Ｐ明朝" w:hAnsi="ＭＳ Ｐ明朝" w:eastAsia="ＭＳ Ｐ明朝"/>
                <w:kern w:val="0"/>
                <w:sz w:val="20"/>
                <w:vertAlign w:val="subscript"/>
              </w:rPr>
              <w:t>2</w:t>
            </w:r>
            <w:r>
              <w:rPr>
                <w:rFonts w:hint="eastAsia" w:ascii="ＭＳ Ｐ明朝" w:hAnsi="ＭＳ Ｐ明朝" w:eastAsia="ＭＳ Ｐ明朝"/>
                <w:kern w:val="0"/>
                <w:sz w:val="20"/>
              </w:rPr>
              <w:t>/</w:t>
            </w:r>
            <w:r>
              <w:rPr>
                <w:rFonts w:hint="eastAsia" w:ascii="ＭＳ Ｐ明朝" w:hAnsi="ＭＳ Ｐ明朝" w:eastAsia="ＭＳ Ｐ明朝"/>
                <w:kern w:val="0"/>
                <w:sz w:val="20"/>
              </w:rPr>
              <w:t>百万</w:t>
            </w:r>
            <w:r>
              <w:rPr>
                <w:rFonts w:hint="eastAsia" w:ascii="ＭＳ Ｐ明朝" w:hAnsi="ＭＳ Ｐ明朝" w:eastAsia="ＭＳ Ｐ明朝"/>
                <w:kern w:val="0"/>
                <w:sz w:val="20"/>
              </w:rPr>
              <w:t>kWh</w:t>
            </w:r>
            <w:r>
              <w:rPr>
                <w:rFonts w:hint="eastAsia" w:ascii="ＭＳ Ｐ明朝" w:hAnsi="ＭＳ Ｐ明朝" w:eastAsia="ＭＳ Ｐ明朝"/>
                <w:kern w:val="0"/>
                <w:sz w:val="20"/>
              </w:rPr>
              <w:t>）</w:t>
            </w:r>
          </w:p>
        </w:tc>
        <w:tc>
          <w:tcPr>
            <w:tcW w:w="1377" w:type="dxa"/>
            <w:tcBorders>
              <w:top w:val="nil"/>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0.</w:t>
            </w:r>
            <w:r>
              <w:rPr>
                <w:rFonts w:hint="default" w:ascii="ＭＳ Ｐ明朝" w:hAnsi="ＭＳ Ｐ明朝" w:eastAsia="ＭＳ Ｐ明朝"/>
                <w:kern w:val="0"/>
                <w:sz w:val="20"/>
              </w:rPr>
              <w:t>719</w:t>
            </w:r>
          </w:p>
        </w:tc>
        <w:tc>
          <w:tcPr>
            <w:tcW w:w="1377"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0.677</w:t>
            </w:r>
          </w:p>
        </w:tc>
      </w:tr>
    </w:tbl>
    <w:p>
      <w:pPr>
        <w:pStyle w:val="0"/>
        <w:spacing w:line="240" w:lineRule="exact"/>
        <w:ind w:left="1050" w:leftChars="500"/>
        <w:rPr>
          <w:rFonts w:hint="default" w:ascii="ＭＳ Ｐ明朝" w:hAnsi="ＭＳ Ｐ明朝" w:eastAsia="ＭＳ Ｐ明朝"/>
          <w:sz w:val="18"/>
        </w:rPr>
      </w:pPr>
      <w:bookmarkStart w:id="0" w:name="_Hlk491880633"/>
      <w:r>
        <w:rPr>
          <w:rFonts w:hint="eastAsia" w:ascii="ＭＳ Ｐ明朝" w:hAnsi="ＭＳ Ｐ明朝" w:eastAsia="ＭＳ Ｐ明朝"/>
          <w:sz w:val="18"/>
        </w:rPr>
        <w:t>参考出典：①津山市統計書（資料：工業統計調査）</w:t>
      </w:r>
    </w:p>
    <w:p>
      <w:pPr>
        <w:pStyle w:val="0"/>
        <w:spacing w:line="240" w:lineRule="exact"/>
        <w:ind w:left="1497" w:leftChars="713" w:firstLine="360" w:firstLineChars="200"/>
        <w:rPr>
          <w:rFonts w:hint="default" w:ascii="ＭＳ Ｐ明朝" w:hAnsi="ＭＳ Ｐ明朝" w:eastAsia="ＭＳ Ｐ明朝"/>
          <w:sz w:val="18"/>
        </w:rPr>
      </w:pPr>
      <w:bookmarkEnd w:id="0"/>
      <w:r>
        <w:rPr>
          <w:rFonts w:hint="eastAsia" w:ascii="ＭＳ Ｐ明朝" w:hAnsi="ＭＳ Ｐ明朝" w:eastAsia="ＭＳ Ｐ明朝"/>
          <w:sz w:val="18"/>
        </w:rPr>
        <w:t>②中国電力</w:t>
      </w:r>
      <w:r>
        <w:rPr>
          <w:rFonts w:hint="eastAsia" w:ascii="ＭＳ Ｐ明朝" w:hAnsi="ＭＳ Ｐ明朝" w:eastAsia="ＭＳ Ｐ明朝"/>
          <w:sz w:val="18"/>
        </w:rPr>
        <w:t>(</w:t>
      </w:r>
      <w:r>
        <w:rPr>
          <w:rFonts w:hint="eastAsia" w:ascii="ＭＳ Ｐ明朝" w:hAnsi="ＭＳ Ｐ明朝" w:eastAsia="ＭＳ Ｐ明朝"/>
          <w:sz w:val="18"/>
        </w:rPr>
        <w:t>株</w:t>
      </w:r>
      <w:r>
        <w:rPr>
          <w:rFonts w:hint="eastAsia" w:ascii="ＭＳ Ｐ明朝" w:hAnsi="ＭＳ Ｐ明朝" w:eastAsia="ＭＳ Ｐ明朝"/>
          <w:sz w:val="18"/>
        </w:rPr>
        <w:t>)</w:t>
      </w:r>
      <w:r>
        <w:rPr>
          <w:rFonts w:hint="eastAsia" w:ascii="ＭＳ Ｐ明朝" w:hAnsi="ＭＳ Ｐ明朝" w:eastAsia="ＭＳ Ｐ明朝"/>
          <w:sz w:val="18"/>
        </w:rPr>
        <w:t>ホームページ（実排出係数）</w:t>
      </w:r>
    </w:p>
    <w:p>
      <w:pPr>
        <w:pStyle w:val="0"/>
        <w:ind w:left="210" w:leftChars="100" w:firstLine="210" w:firstLineChars="100"/>
        <w:rPr>
          <w:rFonts w:hint="default" w:ascii="ＭＳ 明朝" w:hAnsi="ＭＳ 明朝"/>
        </w:rPr>
      </w:pPr>
    </w:p>
    <w:p>
      <w:pPr>
        <w:pStyle w:val="0"/>
        <w:ind w:left="210" w:leftChars="100" w:firstLine="210" w:firstLineChars="100"/>
        <w:rPr>
          <w:rFonts w:hint="default" w:ascii="ＭＳ 明朝" w:hAnsi="ＭＳ 明朝"/>
        </w:rPr>
      </w:pPr>
      <w:r>
        <w:rPr>
          <w:rFonts w:hint="eastAsia" w:ascii="ＭＳ 明朝" w:hAnsi="ＭＳ 明朝"/>
        </w:rPr>
        <mc:AlternateContent>
          <mc:Choice Requires="wps">
            <w:drawing>
              <wp:anchor distT="0" distB="0" distL="114300" distR="114300" simplePos="0" relativeHeight="64" behindDoc="0" locked="0" layoutInCell="1" hidden="0" allowOverlap="1">
                <wp:simplePos x="0" y="0"/>
                <wp:positionH relativeFrom="column">
                  <wp:posOffset>80645</wp:posOffset>
                </wp:positionH>
                <wp:positionV relativeFrom="paragraph">
                  <wp:posOffset>128270</wp:posOffset>
                </wp:positionV>
                <wp:extent cx="2267585" cy="304800"/>
                <wp:effectExtent l="635" t="635" r="635" b="635"/>
                <wp:wrapNone/>
                <wp:docPr id="1077" name="四角形: 角を丸くする 109"/>
                <a:graphic xmlns:a="http://schemas.openxmlformats.org/drawingml/2006/main">
                  <a:graphicData uri="http://schemas.microsoft.com/office/word/2010/wordprocessingShape">
                    <wps:wsp>
                      <wps:cNvPr id="1077" name="四角形: 角を丸くする 109"/>
                      <wps:cNvSpPr/>
                      <wps:spPr>
                        <a:xfrm>
                          <a:off x="0" y="0"/>
                          <a:ext cx="2267585" cy="304800"/>
                        </a:xfrm>
                        <a:prstGeom prst="roundRect">
                          <a:avLst>
                            <a:gd name="adj" fmla="val 50000"/>
                          </a:avLst>
                        </a:prstGeom>
                        <a:solidFill>
                          <a:srgbClr val="FF8B8B"/>
                        </a:solidFill>
                        <a:ln w="12700" cap="flat" cmpd="sng" algn="ctr">
                          <a:noFill/>
                          <a:prstDash val="solid"/>
                          <a:miter lim="800000"/>
                        </a:ln>
                        <a:effectLst/>
                      </wps:spPr>
                      <wps:txbx>
                        <w:txbxContent>
                          <w:p>
                            <w:pPr>
                              <w:pStyle w:val="26"/>
                              <w:ind w:left="210"/>
                              <w:rPr>
                                <w:rFonts w:hint="default"/>
                              </w:rPr>
                            </w:pPr>
                            <w:r>
                              <w:rPr>
                                <w:rFonts w:hint="eastAsia"/>
                              </w:rPr>
                              <w:t>②</w:t>
                            </w:r>
                            <w:r>
                              <w:rPr>
                                <w:rFonts w:hint="eastAsia"/>
                              </w:rPr>
                              <w:t xml:space="preserve"> </w:t>
                            </w:r>
                            <w:r>
                              <w:rPr>
                                <w:rFonts w:hint="eastAsia"/>
                              </w:rPr>
                              <w:t>産業部門（建設</w:t>
                            </w:r>
                            <w:r>
                              <w:rPr>
                                <w:rFonts w:hint="default"/>
                              </w:rPr>
                              <w:t>業</w:t>
                            </w:r>
                            <w:r>
                              <w:rPr>
                                <w:rFonts w:hint="eastAsia"/>
                              </w:rPr>
                              <w:t>・</w:t>
                            </w:r>
                            <w:r>
                              <w:rPr>
                                <w:rFonts w:hint="default"/>
                              </w:rPr>
                              <w:t>鉱業）</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109" style="mso-wrap-distance-right:9pt;mso-wrap-distance-bottom:0pt;margin-top:10.1pt;mso-position-vertical-relative:text;mso-position-horizontal-relative:text;v-text-anchor:middle;position:absolute;height:24pt;mso-wrap-distance-top:0pt;width:178.55pt;mso-wrap-distance-left:9pt;margin-left:6.35pt;z-index:64;" o:spid="_x0000_s1077" o:allowincell="t" o:allowoverlap="t" filled="t" fillcolor="#ff8b8b" stroked="f" strokeweight="1pt" o:spt="2" arcsize="32768f">
                <v:fill/>
                <v:stroke linestyle="single" miterlimit="8" endcap="flat" dashstyle="solid"/>
                <v:textbox style="layout-flow:horizontal;" inset="0mm,0mm,0mm,0mm">
                  <w:txbxContent>
                    <w:p>
                      <w:pPr>
                        <w:pStyle w:val="26"/>
                        <w:ind w:left="210"/>
                        <w:rPr>
                          <w:rFonts w:hint="default"/>
                        </w:rPr>
                      </w:pPr>
                      <w:r>
                        <w:rPr>
                          <w:rFonts w:hint="eastAsia"/>
                        </w:rPr>
                        <w:t>②</w:t>
                      </w:r>
                      <w:r>
                        <w:rPr>
                          <w:rFonts w:hint="eastAsia"/>
                        </w:rPr>
                        <w:t xml:space="preserve"> </w:t>
                      </w:r>
                      <w:r>
                        <w:rPr>
                          <w:rFonts w:hint="eastAsia"/>
                        </w:rPr>
                        <w:t>産業部門（建設</w:t>
                      </w:r>
                      <w:r>
                        <w:rPr>
                          <w:rFonts w:hint="default"/>
                        </w:rPr>
                        <w:t>業</w:t>
                      </w:r>
                      <w:r>
                        <w:rPr>
                          <w:rFonts w:hint="eastAsia"/>
                        </w:rPr>
                        <w:t>・</w:t>
                      </w:r>
                      <w:r>
                        <w:rPr>
                          <w:rFonts w:hint="default"/>
                        </w:rPr>
                        <w:t>鉱業）</w:t>
                      </w:r>
                    </w:p>
                  </w:txbxContent>
                </v:textbox>
                <v:imagedata o:title=""/>
                <w10:wrap type="none" anchorx="text" anchory="text"/>
              </v:roundrect>
            </w:pict>
          </mc:Fallback>
        </mc:AlternateContent>
      </w:r>
    </w:p>
    <w:p>
      <w:pPr>
        <w:pStyle w:val="0"/>
        <w:ind w:left="210" w:leftChars="100"/>
        <w:rPr>
          <w:rFonts w:hint="default"/>
          <w:b w:val="1"/>
        </w:rPr>
      </w:pPr>
    </w:p>
    <w:p>
      <w:pPr>
        <w:pStyle w:val="0"/>
        <w:spacing w:before="180" w:beforeLines="50" w:beforeAutospacing="0"/>
        <w:ind w:left="210" w:leftChars="100" w:firstLine="630" w:firstLineChars="300"/>
        <w:rPr>
          <w:rFonts w:hint="default" w:ascii="ＭＳ 明朝" w:hAnsi="ＭＳ 明朝"/>
        </w:rPr>
      </w:pPr>
      <w:r>
        <w:rPr>
          <w:rFonts w:hint="eastAsia" w:ascii="ＭＳ ゴシック" w:hAnsi="ＭＳ ゴシック" w:eastAsia="ＭＳ ゴシック"/>
        </w:rPr>
        <w:t>部門別の温室効果ガス排出量推計（産業部門</w:t>
      </w:r>
      <w:r>
        <w:rPr>
          <w:rFonts w:hint="eastAsia" w:ascii="ＭＳ ゴシック" w:hAnsi="ＭＳ ゴシック" w:eastAsia="ＭＳ ゴシック"/>
        </w:rPr>
        <w:t>(</w:t>
      </w:r>
      <w:r>
        <w:rPr>
          <w:rFonts w:hint="eastAsia" w:ascii="ＭＳ ゴシック" w:hAnsi="ＭＳ ゴシック" w:eastAsia="ＭＳ ゴシック"/>
        </w:rPr>
        <w:t>建設業・鉱業</w:t>
      </w:r>
      <w:r>
        <w:rPr>
          <w:rFonts w:hint="eastAsia" w:ascii="ＭＳ ゴシック" w:hAnsi="ＭＳ ゴシック" w:eastAsia="ＭＳ ゴシック"/>
        </w:rPr>
        <w:t>)</w:t>
      </w:r>
      <w:r>
        <w:rPr>
          <w:rFonts w:hint="eastAsia" w:ascii="ＭＳ ゴシック" w:hAnsi="ＭＳ ゴシック" w:eastAsia="ＭＳ ゴシック"/>
        </w:rPr>
        <w:t>）</w:t>
      </w:r>
    </w:p>
    <w:tbl>
      <w:tblPr>
        <w:tblStyle w:val="11"/>
        <w:tblW w:w="7082" w:type="dxa"/>
        <w:tblInd w:w="912" w:type="dxa"/>
        <w:tblLayout w:type="fixed"/>
        <w:tblCellMar>
          <w:left w:w="99" w:type="dxa"/>
          <w:right w:w="99" w:type="dxa"/>
        </w:tblCellMar>
        <w:tblLook w:firstRow="0" w:lastRow="0" w:firstColumn="0" w:lastColumn="0" w:noHBand="0" w:noVBand="0" w:val="0000"/>
      </w:tblPr>
      <w:tblGrid>
        <w:gridCol w:w="4328"/>
        <w:gridCol w:w="1377"/>
        <w:gridCol w:w="1377"/>
      </w:tblGrid>
      <w:tr>
        <w:trPr>
          <w:trHeight w:val="529" w:hRule="atLeast"/>
        </w:trPr>
        <w:tc>
          <w:tcPr>
            <w:tcW w:w="4328" w:type="dxa"/>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年　　度</w:t>
            </w:r>
          </w:p>
        </w:tc>
        <w:tc>
          <w:tcPr>
            <w:tcW w:w="1377" w:type="dxa"/>
            <w:tcBorders>
              <w:top w:val="single" w:color="auto" w:sz="4" w:space="0"/>
              <w:left w:val="nil"/>
              <w:bottom w:val="single" w:color="auto" w:sz="4" w:space="0"/>
              <w:right w:val="trip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基準年</w:t>
            </w:r>
          </w:p>
          <w:p>
            <w:pPr>
              <w:pStyle w:val="0"/>
              <w:snapToGrid w:val="0"/>
              <w:spacing w:line="240" w:lineRule="atLeast"/>
              <w:jc w:val="center"/>
              <w:rPr>
                <w:rFonts w:hint="default" w:ascii="ＭＳ Ｐ明朝" w:hAnsi="ＭＳ Ｐ明朝" w:eastAsia="ＭＳ Ｐ明朝"/>
                <w:kern w:val="0"/>
                <w:sz w:val="20"/>
              </w:rPr>
            </w:pPr>
            <w:r>
              <w:rPr>
                <w:rFonts w:hint="default" w:ascii="ＭＳ Ｐ明朝" w:hAnsi="ＭＳ Ｐ明朝" w:eastAsia="ＭＳ Ｐ明朝"/>
                <w:kern w:val="0"/>
                <w:sz w:val="20"/>
              </w:rPr>
              <w:t>2013</w:t>
            </w:r>
            <w:r>
              <w:rPr>
                <w:rFonts w:hint="eastAsia" w:ascii="ＭＳ Ｐ明朝" w:hAnsi="ＭＳ Ｐ明朝" w:eastAsia="ＭＳ Ｐ明朝"/>
                <w:kern w:val="0"/>
                <w:sz w:val="20"/>
              </w:rPr>
              <w:t>年度</w:t>
            </w:r>
          </w:p>
        </w:tc>
        <w:tc>
          <w:tcPr>
            <w:tcW w:w="1377"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現況年</w:t>
            </w:r>
          </w:p>
          <w:p>
            <w:pPr>
              <w:pStyle w:val="0"/>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2017</w:t>
            </w:r>
            <w:r>
              <w:rPr>
                <w:rFonts w:hint="eastAsia" w:ascii="ＭＳ Ｐ明朝" w:hAnsi="ＭＳ Ｐ明朝" w:eastAsia="ＭＳ Ｐ明朝"/>
                <w:kern w:val="0"/>
                <w:sz w:val="20"/>
              </w:rPr>
              <w:t>年度</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温室効果ガス排出量（千</w:t>
            </w:r>
            <w:r>
              <w:rPr>
                <w:rFonts w:hint="eastAsia" w:ascii="ＭＳ Ｐ明朝" w:hAnsi="ＭＳ Ｐ明朝" w:eastAsia="ＭＳ Ｐ明朝"/>
                <w:kern w:val="0"/>
                <w:sz w:val="20"/>
              </w:rPr>
              <w:t>t-CO</w:t>
            </w:r>
            <w:r>
              <w:rPr>
                <w:rFonts w:hint="eastAsia" w:ascii="ＭＳ Ｐ明朝" w:hAnsi="ＭＳ Ｐ明朝" w:eastAsia="ＭＳ Ｐ明朝"/>
                <w:kern w:val="0"/>
                <w:sz w:val="20"/>
                <w:vertAlign w:val="subscript"/>
              </w:rPr>
              <w:t>2</w:t>
            </w:r>
            <w:r>
              <w:rPr>
                <w:rFonts w:hint="eastAsia" w:ascii="ＭＳ Ｐ明朝" w:hAnsi="ＭＳ Ｐ明朝" w:eastAsia="ＭＳ Ｐ明朝"/>
                <w:kern w:val="0"/>
                <w:sz w:val="20"/>
              </w:rPr>
              <w:t>）</w:t>
            </w:r>
          </w:p>
        </w:tc>
        <w:tc>
          <w:tcPr>
            <w:tcW w:w="1377" w:type="dxa"/>
            <w:tcBorders>
              <w:top w:val="single" w:color="auto" w:sz="4" w:space="0"/>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default" w:ascii="ＭＳ Ｐ明朝" w:hAnsi="ＭＳ Ｐ明朝" w:eastAsia="ＭＳ Ｐ明朝"/>
                <w:kern w:val="0"/>
                <w:sz w:val="20"/>
              </w:rPr>
              <w:t>19.8</w:t>
            </w:r>
          </w:p>
        </w:tc>
        <w:tc>
          <w:tcPr>
            <w:tcW w:w="1377" w:type="dxa"/>
            <w:tcBorders>
              <w:top w:val="single" w:color="auto" w:sz="6" w:space="0"/>
              <w:left w:val="triple" w:color="auto" w:sz="4" w:space="0"/>
              <w:bottom w:val="single" w:color="auto" w:sz="6"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16.0</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参考</w:t>
            </w:r>
            <w:r>
              <w:rPr>
                <w:rFonts w:hint="eastAsia" w:ascii="ＭＳ Ｐ明朝" w:hAnsi="ＭＳ Ｐ明朝" w:eastAsia="ＭＳ Ｐ明朝"/>
                <w:kern w:val="0"/>
                <w:sz w:val="20"/>
              </w:rPr>
              <w:t xml:space="preserve"> </w:t>
            </w:r>
            <w:r>
              <w:rPr>
                <w:rFonts w:hint="eastAsia" w:ascii="ＭＳ Ｐ明朝" w:hAnsi="ＭＳ Ｐ明朝" w:eastAsia="ＭＳ Ｐ明朝"/>
                <w:kern w:val="0"/>
                <w:sz w:val="20"/>
              </w:rPr>
              <w:t>建設業・鉱業の従業者数（人）</w:t>
            </w:r>
          </w:p>
        </w:tc>
        <w:tc>
          <w:tcPr>
            <w:tcW w:w="1377" w:type="dxa"/>
            <w:tcBorders>
              <w:top w:val="nil"/>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default" w:ascii="ＭＳ Ｐ明朝" w:hAnsi="ＭＳ Ｐ明朝" w:eastAsia="ＭＳ Ｐ明朝"/>
                <w:kern w:val="0"/>
                <w:sz w:val="20"/>
              </w:rPr>
              <w:t>4,235</w:t>
            </w:r>
          </w:p>
        </w:tc>
        <w:tc>
          <w:tcPr>
            <w:tcW w:w="1377"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default" w:ascii="ＭＳ Ｐ明朝" w:hAnsi="ＭＳ Ｐ明朝" w:eastAsia="ＭＳ Ｐ明朝"/>
                <w:kern w:val="0"/>
                <w:sz w:val="20"/>
              </w:rPr>
              <w:t>3,271</w:t>
            </w:r>
          </w:p>
        </w:tc>
      </w:tr>
    </w:tbl>
    <w:p>
      <w:pPr>
        <w:pStyle w:val="0"/>
        <w:spacing w:line="240" w:lineRule="exact"/>
        <w:ind w:left="1050" w:leftChars="500"/>
        <w:rPr>
          <w:rFonts w:hint="default" w:ascii="ＭＳ Ｐ明朝" w:hAnsi="ＭＳ Ｐ明朝" w:eastAsia="ＭＳ Ｐ明朝"/>
          <w:sz w:val="18"/>
        </w:rPr>
      </w:pPr>
      <w:r>
        <w:rPr>
          <w:rFonts w:hint="eastAsia" w:ascii="ＭＳ Ｐ明朝" w:hAnsi="ＭＳ Ｐ明朝" w:eastAsia="ＭＳ Ｐ明朝"/>
          <w:sz w:val="18"/>
        </w:rPr>
        <w:t>参考出典：津山市統計書（資料：経済センサス基礎調査）</w:t>
      </w:r>
    </w:p>
    <w:p>
      <w:pPr>
        <w:pStyle w:val="0"/>
        <w:ind w:left="420" w:leftChars="200"/>
        <w:rPr>
          <w:rFonts w:hint="default" w:ascii="ＭＳ 明朝" w:hAnsi="ＭＳ 明朝"/>
        </w:rPr>
      </w:pPr>
    </w:p>
    <w:p>
      <w:pPr>
        <w:pStyle w:val="0"/>
        <w:ind w:left="210" w:leftChars="100" w:firstLine="210" w:firstLineChars="100"/>
        <w:rPr>
          <w:rFonts w:hint="default" w:ascii="ＭＳ 明朝" w:hAnsi="ＭＳ 明朝"/>
        </w:rPr>
      </w:pPr>
      <w:r>
        <w:rPr>
          <w:rFonts w:hint="eastAsia" w:ascii="ＭＳ 明朝" w:hAnsi="ＭＳ 明朝"/>
        </w:rPr>
        <mc:AlternateContent>
          <mc:Choice Requires="wps">
            <w:drawing>
              <wp:anchor distT="0" distB="0" distL="114300" distR="114300" simplePos="0" relativeHeight="65" behindDoc="0" locked="0" layoutInCell="1" hidden="0" allowOverlap="1">
                <wp:simplePos x="0" y="0"/>
                <wp:positionH relativeFrom="column">
                  <wp:posOffset>80645</wp:posOffset>
                </wp:positionH>
                <wp:positionV relativeFrom="paragraph">
                  <wp:posOffset>125095</wp:posOffset>
                </wp:positionV>
                <wp:extent cx="3995420" cy="304800"/>
                <wp:effectExtent l="635" t="635" r="635" b="635"/>
                <wp:wrapNone/>
                <wp:docPr id="1078" name="四角形: 角を丸くする 110"/>
                <a:graphic xmlns:a="http://schemas.openxmlformats.org/drawingml/2006/main">
                  <a:graphicData uri="http://schemas.microsoft.com/office/word/2010/wordprocessingShape">
                    <wps:wsp>
                      <wps:cNvPr id="1078" name="四角形: 角を丸くする 110"/>
                      <wps:cNvSpPr/>
                      <wps:spPr>
                        <a:xfrm>
                          <a:off x="0" y="0"/>
                          <a:ext cx="3995420" cy="304800"/>
                        </a:xfrm>
                        <a:prstGeom prst="roundRect">
                          <a:avLst>
                            <a:gd name="adj" fmla="val 50000"/>
                          </a:avLst>
                        </a:prstGeom>
                        <a:solidFill>
                          <a:srgbClr val="FF8B8B"/>
                        </a:solidFill>
                        <a:ln w="12700" cap="flat" cmpd="sng" algn="ctr">
                          <a:noFill/>
                          <a:prstDash val="solid"/>
                          <a:miter lim="800000"/>
                        </a:ln>
                        <a:effectLst/>
                      </wps:spPr>
                      <wps:txbx>
                        <w:txbxContent>
                          <w:p>
                            <w:pPr>
                              <w:pStyle w:val="26"/>
                              <w:ind w:left="210"/>
                              <w:rPr>
                                <w:rFonts w:hint="default"/>
                              </w:rPr>
                            </w:pPr>
                            <w:r>
                              <w:rPr>
                                <w:rFonts w:hint="eastAsia"/>
                              </w:rPr>
                              <w:t>③</w:t>
                            </w:r>
                            <w:r>
                              <w:rPr>
                                <w:rFonts w:hint="eastAsia"/>
                              </w:rPr>
                              <w:t xml:space="preserve"> </w:t>
                            </w:r>
                            <w:r>
                              <w:rPr>
                                <w:rFonts w:hint="eastAsia"/>
                              </w:rPr>
                              <w:t>産業部門（農林水産業：エネルギー消費によるもの</w:t>
                            </w:r>
                            <w:r>
                              <w:rPr>
                                <w:rFonts w:hint="default"/>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110" style="mso-wrap-distance-right:9pt;mso-wrap-distance-bottom:0pt;margin-top:9.85pt;mso-position-vertical-relative:text;mso-position-horizontal-relative:text;v-text-anchor:middle;position:absolute;height:24pt;mso-wrap-distance-top:0pt;width:314.60000000000002pt;mso-wrap-distance-left:9pt;margin-left:6.35pt;z-index:65;" o:spid="_x0000_s1078" o:allowincell="t" o:allowoverlap="t" filled="t" fillcolor="#ff8b8b" stroked="f" strokeweight="1pt" o:spt="2" arcsize="32768f">
                <v:fill/>
                <v:stroke linestyle="single" miterlimit="8" endcap="flat" dashstyle="solid"/>
                <v:textbox style="layout-flow:horizontal;" inset="0mm,0mm,0mm,0mm">
                  <w:txbxContent>
                    <w:p>
                      <w:pPr>
                        <w:pStyle w:val="26"/>
                        <w:ind w:left="210"/>
                        <w:rPr>
                          <w:rFonts w:hint="default"/>
                        </w:rPr>
                      </w:pPr>
                      <w:r>
                        <w:rPr>
                          <w:rFonts w:hint="eastAsia"/>
                        </w:rPr>
                        <w:t>③</w:t>
                      </w:r>
                      <w:r>
                        <w:rPr>
                          <w:rFonts w:hint="eastAsia"/>
                        </w:rPr>
                        <w:t xml:space="preserve"> </w:t>
                      </w:r>
                      <w:r>
                        <w:rPr>
                          <w:rFonts w:hint="eastAsia"/>
                        </w:rPr>
                        <w:t>産業部門（農林水産業：エネルギー消費によるもの</w:t>
                      </w:r>
                      <w:r>
                        <w:rPr>
                          <w:rFonts w:hint="default"/>
                        </w:rPr>
                        <w:t>）</w:t>
                      </w:r>
                    </w:p>
                  </w:txbxContent>
                </v:textbox>
                <v:imagedata o:title=""/>
                <w10:wrap type="none" anchorx="text" anchory="text"/>
              </v:roundrect>
            </w:pict>
          </mc:Fallback>
        </mc:AlternateContent>
      </w:r>
    </w:p>
    <w:p>
      <w:pPr>
        <w:pStyle w:val="0"/>
        <w:ind w:left="210" w:leftChars="100"/>
        <w:rPr>
          <w:rFonts w:hint="default"/>
          <w:b w:val="1"/>
        </w:rPr>
      </w:pPr>
    </w:p>
    <w:p>
      <w:pPr>
        <w:pStyle w:val="0"/>
        <w:spacing w:before="180" w:beforeLines="50" w:beforeAutospacing="0"/>
        <w:ind w:firstLine="840" w:firstLineChars="400"/>
        <w:rPr>
          <w:rFonts w:hint="default" w:ascii="ＭＳ 明朝" w:hAnsi="ＭＳ 明朝"/>
        </w:rPr>
      </w:pPr>
      <w:r>
        <w:rPr>
          <w:rFonts w:hint="eastAsia" w:ascii="ＭＳ ゴシック" w:hAnsi="ＭＳ ゴシック" w:eastAsia="ＭＳ ゴシック"/>
        </w:rPr>
        <w:t>部門別の温室効果ガス排出量推計（産業部門</w:t>
      </w:r>
      <w:r>
        <w:rPr>
          <w:rFonts w:hint="eastAsia" w:ascii="ＭＳ ゴシック" w:hAnsi="ＭＳ ゴシック" w:eastAsia="ＭＳ ゴシック"/>
        </w:rPr>
        <w:t>(</w:t>
      </w:r>
      <w:r>
        <w:rPr>
          <w:rFonts w:hint="eastAsia" w:ascii="ＭＳ ゴシック" w:hAnsi="ＭＳ ゴシック" w:eastAsia="ＭＳ ゴシック"/>
        </w:rPr>
        <w:t>農林水産業</w:t>
      </w:r>
      <w:r>
        <w:rPr>
          <w:rFonts w:hint="eastAsia" w:ascii="ＭＳ ゴシック" w:hAnsi="ＭＳ ゴシック" w:eastAsia="ＭＳ ゴシック"/>
        </w:rPr>
        <w:t>)</w:t>
      </w:r>
      <w:r>
        <w:rPr>
          <w:rFonts w:hint="eastAsia" w:ascii="ＭＳ ゴシック" w:hAnsi="ＭＳ ゴシック" w:eastAsia="ＭＳ ゴシック"/>
        </w:rPr>
        <w:t>）</w:t>
      </w:r>
    </w:p>
    <w:tbl>
      <w:tblPr>
        <w:tblStyle w:val="11"/>
        <w:tblW w:w="7082" w:type="dxa"/>
        <w:tblInd w:w="912" w:type="dxa"/>
        <w:tblLayout w:type="fixed"/>
        <w:tblCellMar>
          <w:left w:w="99" w:type="dxa"/>
          <w:right w:w="99" w:type="dxa"/>
        </w:tblCellMar>
        <w:tblLook w:firstRow="0" w:lastRow="0" w:firstColumn="0" w:lastColumn="0" w:noHBand="0" w:noVBand="0" w:val="0000"/>
      </w:tblPr>
      <w:tblGrid>
        <w:gridCol w:w="4328"/>
        <w:gridCol w:w="1377"/>
        <w:gridCol w:w="1377"/>
      </w:tblGrid>
      <w:tr>
        <w:trPr>
          <w:trHeight w:val="529" w:hRule="atLeast"/>
        </w:trPr>
        <w:tc>
          <w:tcPr>
            <w:tcW w:w="4328" w:type="dxa"/>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年　　度</w:t>
            </w:r>
          </w:p>
        </w:tc>
        <w:tc>
          <w:tcPr>
            <w:tcW w:w="1377" w:type="dxa"/>
            <w:tcBorders>
              <w:top w:val="single" w:color="auto" w:sz="4" w:space="0"/>
              <w:left w:val="nil"/>
              <w:bottom w:val="single" w:color="auto" w:sz="4" w:space="0"/>
              <w:right w:val="trip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基準年</w:t>
            </w:r>
          </w:p>
          <w:p>
            <w:pPr>
              <w:pStyle w:val="0"/>
              <w:snapToGrid w:val="0"/>
              <w:spacing w:line="240" w:lineRule="atLeast"/>
              <w:jc w:val="center"/>
              <w:rPr>
                <w:rFonts w:hint="default" w:ascii="ＭＳ Ｐ明朝" w:hAnsi="ＭＳ Ｐ明朝" w:eastAsia="ＭＳ Ｐ明朝"/>
                <w:kern w:val="0"/>
                <w:sz w:val="20"/>
              </w:rPr>
            </w:pPr>
            <w:r>
              <w:rPr>
                <w:rFonts w:hint="default" w:ascii="ＭＳ Ｐ明朝" w:hAnsi="ＭＳ Ｐ明朝" w:eastAsia="ＭＳ Ｐ明朝"/>
                <w:kern w:val="0"/>
                <w:sz w:val="20"/>
              </w:rPr>
              <w:t>2013</w:t>
            </w:r>
            <w:r>
              <w:rPr>
                <w:rFonts w:hint="eastAsia" w:ascii="ＭＳ Ｐ明朝" w:hAnsi="ＭＳ Ｐ明朝" w:eastAsia="ＭＳ Ｐ明朝"/>
                <w:kern w:val="0"/>
                <w:sz w:val="20"/>
              </w:rPr>
              <w:t>年度</w:t>
            </w:r>
          </w:p>
        </w:tc>
        <w:tc>
          <w:tcPr>
            <w:tcW w:w="1377"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現況年</w:t>
            </w:r>
          </w:p>
          <w:p>
            <w:pPr>
              <w:pStyle w:val="0"/>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20</w:t>
            </w:r>
            <w:r>
              <w:rPr>
                <w:rFonts w:hint="default" w:ascii="ＭＳ Ｐ明朝" w:hAnsi="ＭＳ Ｐ明朝" w:eastAsia="ＭＳ Ｐ明朝"/>
                <w:kern w:val="0"/>
                <w:sz w:val="20"/>
              </w:rPr>
              <w:t>1</w:t>
            </w:r>
            <w:r>
              <w:rPr>
                <w:rFonts w:hint="eastAsia" w:ascii="ＭＳ Ｐ明朝" w:hAnsi="ＭＳ Ｐ明朝" w:eastAsia="ＭＳ Ｐ明朝"/>
                <w:kern w:val="0"/>
                <w:sz w:val="20"/>
              </w:rPr>
              <w:t>7</w:t>
            </w:r>
            <w:r>
              <w:rPr>
                <w:rFonts w:hint="eastAsia" w:ascii="ＭＳ Ｐ明朝" w:hAnsi="ＭＳ Ｐ明朝" w:eastAsia="ＭＳ Ｐ明朝"/>
                <w:kern w:val="0"/>
                <w:sz w:val="20"/>
              </w:rPr>
              <w:t>年度</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温室効果ガス排出量（千</w:t>
            </w:r>
            <w:r>
              <w:rPr>
                <w:rFonts w:hint="eastAsia" w:ascii="ＭＳ Ｐ明朝" w:hAnsi="ＭＳ Ｐ明朝" w:eastAsia="ＭＳ Ｐ明朝"/>
                <w:kern w:val="0"/>
                <w:sz w:val="20"/>
              </w:rPr>
              <w:t>t-CO</w:t>
            </w:r>
            <w:r>
              <w:rPr>
                <w:rFonts w:hint="eastAsia" w:ascii="ＭＳ Ｐ明朝" w:hAnsi="ＭＳ Ｐ明朝" w:eastAsia="ＭＳ Ｐ明朝"/>
                <w:kern w:val="0"/>
                <w:sz w:val="20"/>
                <w:vertAlign w:val="subscript"/>
              </w:rPr>
              <w:t>2</w:t>
            </w:r>
            <w:r>
              <w:rPr>
                <w:rFonts w:hint="eastAsia" w:ascii="ＭＳ Ｐ明朝" w:hAnsi="ＭＳ Ｐ明朝" w:eastAsia="ＭＳ Ｐ明朝"/>
                <w:kern w:val="0"/>
                <w:sz w:val="20"/>
              </w:rPr>
              <w:t>）</w:t>
            </w:r>
          </w:p>
        </w:tc>
        <w:tc>
          <w:tcPr>
            <w:tcW w:w="1377" w:type="dxa"/>
            <w:tcBorders>
              <w:top w:val="single" w:color="auto" w:sz="4" w:space="0"/>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3.6</w:t>
            </w:r>
          </w:p>
        </w:tc>
        <w:tc>
          <w:tcPr>
            <w:tcW w:w="1377" w:type="dxa"/>
            <w:tcBorders>
              <w:top w:val="single" w:color="auto" w:sz="6" w:space="0"/>
              <w:left w:val="triple" w:color="auto" w:sz="4" w:space="0"/>
              <w:bottom w:val="single" w:color="auto" w:sz="6"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3.7</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参考</w:t>
            </w:r>
            <w:r>
              <w:rPr>
                <w:rFonts w:hint="eastAsia" w:ascii="ＭＳ Ｐ明朝" w:hAnsi="ＭＳ Ｐ明朝" w:eastAsia="ＭＳ Ｐ明朝"/>
                <w:kern w:val="0"/>
                <w:sz w:val="20"/>
              </w:rPr>
              <w:t xml:space="preserve"> </w:t>
            </w:r>
            <w:r>
              <w:rPr>
                <w:rFonts w:hint="eastAsia" w:ascii="ＭＳ Ｐ明朝" w:hAnsi="ＭＳ Ｐ明朝" w:eastAsia="ＭＳ Ｐ明朝"/>
                <w:kern w:val="0"/>
                <w:sz w:val="20"/>
              </w:rPr>
              <w:t>農林水産業の従業者数（人）</w:t>
            </w:r>
          </w:p>
        </w:tc>
        <w:tc>
          <w:tcPr>
            <w:tcW w:w="1377" w:type="dxa"/>
            <w:tcBorders>
              <w:top w:val="nil"/>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default" w:ascii="ＭＳ Ｐ明朝" w:hAnsi="ＭＳ Ｐ明朝" w:eastAsia="ＭＳ Ｐ明朝"/>
                <w:kern w:val="0"/>
                <w:sz w:val="20"/>
              </w:rPr>
              <w:t>464</w:t>
            </w:r>
          </w:p>
        </w:tc>
        <w:tc>
          <w:tcPr>
            <w:tcW w:w="1377"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default" w:ascii="ＭＳ Ｐ明朝" w:hAnsi="ＭＳ Ｐ明朝" w:eastAsia="ＭＳ Ｐ明朝"/>
                <w:kern w:val="0"/>
                <w:sz w:val="20"/>
              </w:rPr>
              <w:t>435</w:t>
            </w:r>
          </w:p>
        </w:tc>
      </w:tr>
    </w:tbl>
    <w:p>
      <w:pPr>
        <w:pStyle w:val="0"/>
        <w:spacing w:line="240" w:lineRule="exact"/>
        <w:ind w:left="1050" w:leftChars="500"/>
        <w:rPr>
          <w:rFonts w:hint="default" w:ascii="ＭＳ Ｐ明朝" w:hAnsi="ＭＳ Ｐ明朝" w:eastAsia="ＭＳ Ｐ明朝"/>
          <w:sz w:val="18"/>
        </w:rPr>
      </w:pPr>
      <w:r>
        <w:rPr>
          <w:rFonts w:hint="eastAsia" w:ascii="ＭＳ Ｐ明朝" w:hAnsi="ＭＳ Ｐ明朝" w:eastAsia="ＭＳ Ｐ明朝"/>
          <w:sz w:val="18"/>
        </w:rPr>
        <w:t>参考出典：経済センサス基礎調査</w:t>
      </w:r>
    </w:p>
    <w:p>
      <w:pPr>
        <w:pStyle w:val="0"/>
        <w:widowControl w:val="1"/>
        <w:jc w:val="left"/>
        <w:rPr>
          <w:rFonts w:hint="default" w:ascii="ＭＳ 明朝" w:hAnsi="ＭＳ 明朝"/>
        </w:rPr>
      </w:pPr>
      <w:r>
        <w:rPr>
          <w:rFonts w:hint="default" w:ascii="ＭＳ 明朝" w:hAnsi="ＭＳ 明朝"/>
        </w:rPr>
        <w:br w:type="page"/>
      </w:r>
    </w:p>
    <w:p>
      <w:pPr>
        <w:pStyle w:val="0"/>
        <w:ind w:left="210" w:leftChars="100" w:firstLine="210" w:firstLineChars="100"/>
        <w:rPr>
          <w:rFonts w:hint="default" w:ascii="ＭＳ 明朝" w:hAnsi="ＭＳ 明朝"/>
        </w:rPr>
      </w:pPr>
      <w:r>
        <w:rPr>
          <w:rFonts w:hint="eastAsia" w:ascii="ＭＳ 明朝" w:hAnsi="ＭＳ 明朝"/>
        </w:rPr>
        <mc:AlternateContent>
          <mc:Choice Requires="wps">
            <w:drawing>
              <wp:anchor distT="0" distB="0" distL="114300" distR="114300" simplePos="0" relativeHeight="66" behindDoc="0" locked="0" layoutInCell="1" hidden="0" allowOverlap="1">
                <wp:simplePos x="0" y="0"/>
                <wp:positionH relativeFrom="column">
                  <wp:posOffset>80645</wp:posOffset>
                </wp:positionH>
                <wp:positionV relativeFrom="paragraph">
                  <wp:posOffset>128270</wp:posOffset>
                </wp:positionV>
                <wp:extent cx="1619885" cy="304800"/>
                <wp:effectExtent l="635" t="635" r="635" b="635"/>
                <wp:wrapNone/>
                <wp:docPr id="1079" name="四角形: 角を丸くする 111"/>
                <a:graphic xmlns:a="http://schemas.openxmlformats.org/drawingml/2006/main">
                  <a:graphicData uri="http://schemas.microsoft.com/office/word/2010/wordprocessingShape">
                    <wps:wsp>
                      <wps:cNvPr id="1079" name="四角形: 角を丸くする 111"/>
                      <wps:cNvSpPr/>
                      <wps:spPr>
                        <a:xfrm>
                          <a:off x="0" y="0"/>
                          <a:ext cx="1619885" cy="304800"/>
                        </a:xfrm>
                        <a:prstGeom prst="roundRect">
                          <a:avLst>
                            <a:gd name="adj" fmla="val 50000"/>
                          </a:avLst>
                        </a:prstGeom>
                        <a:solidFill>
                          <a:srgbClr val="FF8B8B"/>
                        </a:solidFill>
                        <a:ln w="12700" cap="flat" cmpd="sng" algn="ctr">
                          <a:noFill/>
                          <a:prstDash val="solid"/>
                          <a:miter lim="800000"/>
                        </a:ln>
                        <a:effectLst/>
                      </wps:spPr>
                      <wps:txbx>
                        <w:txbxContent>
                          <w:p>
                            <w:pPr>
                              <w:pStyle w:val="26"/>
                              <w:ind w:left="210"/>
                              <w:rPr>
                                <w:rFonts w:hint="default"/>
                              </w:rPr>
                            </w:pPr>
                            <w:r>
                              <w:rPr>
                                <w:rFonts w:hint="eastAsia"/>
                              </w:rPr>
                              <w:t>④</w:t>
                            </w:r>
                            <w:r>
                              <w:rPr>
                                <w:rFonts w:hint="eastAsia"/>
                              </w:rPr>
                              <w:t xml:space="preserve"> </w:t>
                            </w:r>
                            <w:r>
                              <w:rPr>
                                <w:rFonts w:hint="default"/>
                              </w:rPr>
                              <w:t>業務その他</w:t>
                            </w:r>
                            <w:r>
                              <w:rPr>
                                <w:rFonts w:hint="eastAsia"/>
                              </w:rPr>
                              <w:t>部門</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111" style="mso-wrap-distance-right:9pt;mso-wrap-distance-bottom:0pt;margin-top:10.1pt;mso-position-vertical-relative:text;mso-position-horizontal-relative:text;v-text-anchor:middle;position:absolute;height:24pt;mso-wrap-distance-top:0pt;width:127.55pt;mso-wrap-distance-left:9pt;margin-left:6.35pt;z-index:66;" o:spid="_x0000_s1079" o:allowincell="t" o:allowoverlap="t" filled="t" fillcolor="#ff8b8b" stroked="f" strokeweight="1pt" o:spt="2" arcsize="32768f">
                <v:fill/>
                <v:stroke linestyle="single" miterlimit="8" endcap="flat" dashstyle="solid"/>
                <v:textbox style="layout-flow:horizontal;" inset="0mm,0mm,0mm,0mm">
                  <w:txbxContent>
                    <w:p>
                      <w:pPr>
                        <w:pStyle w:val="26"/>
                        <w:ind w:left="210"/>
                        <w:rPr>
                          <w:rFonts w:hint="default"/>
                        </w:rPr>
                      </w:pPr>
                      <w:r>
                        <w:rPr>
                          <w:rFonts w:hint="eastAsia"/>
                        </w:rPr>
                        <w:t>④</w:t>
                      </w:r>
                      <w:r>
                        <w:rPr>
                          <w:rFonts w:hint="eastAsia"/>
                        </w:rPr>
                        <w:t xml:space="preserve"> </w:t>
                      </w:r>
                      <w:r>
                        <w:rPr>
                          <w:rFonts w:hint="default"/>
                        </w:rPr>
                        <w:t>業務その他</w:t>
                      </w:r>
                      <w:r>
                        <w:rPr>
                          <w:rFonts w:hint="eastAsia"/>
                        </w:rPr>
                        <w:t>部門</w:t>
                      </w:r>
                    </w:p>
                  </w:txbxContent>
                </v:textbox>
                <v:imagedata o:title=""/>
                <w10:wrap type="none" anchorx="text" anchory="text"/>
              </v:roundrect>
            </w:pict>
          </mc:Fallback>
        </mc:AlternateContent>
      </w:r>
    </w:p>
    <w:p>
      <w:pPr>
        <w:pStyle w:val="0"/>
        <w:ind w:left="210" w:leftChars="100"/>
        <w:rPr>
          <w:rFonts w:hint="default"/>
          <w:b w:val="1"/>
        </w:rPr>
      </w:pPr>
    </w:p>
    <w:p>
      <w:pPr>
        <w:pStyle w:val="0"/>
        <w:spacing w:before="180" w:beforeLines="50" w:beforeAutospacing="0" w:line="360" w:lineRule="exact"/>
        <w:ind w:left="630" w:leftChars="300" w:firstLine="210" w:firstLineChars="100"/>
        <w:rPr>
          <w:rFonts w:hint="default" w:ascii="ＭＳ 明朝" w:hAnsi="ＭＳ 明朝"/>
        </w:rPr>
      </w:pPr>
      <w:r>
        <w:rPr>
          <w:rFonts w:hint="eastAsia" w:ascii="ＭＳ ゴシック" w:hAnsi="ＭＳ ゴシック" w:eastAsia="ＭＳ ゴシック"/>
        </w:rPr>
        <w:t>部門別の温室効果ガス排出量推計（業務その他部門）</w:t>
      </w:r>
    </w:p>
    <w:tbl>
      <w:tblPr>
        <w:tblStyle w:val="11"/>
        <w:tblW w:w="7082" w:type="dxa"/>
        <w:tblInd w:w="912" w:type="dxa"/>
        <w:tblLayout w:type="fixed"/>
        <w:tblCellMar>
          <w:left w:w="99" w:type="dxa"/>
          <w:right w:w="99" w:type="dxa"/>
        </w:tblCellMar>
        <w:tblLook w:firstRow="0" w:lastRow="0" w:firstColumn="0" w:lastColumn="0" w:noHBand="0" w:noVBand="0" w:val="0000"/>
      </w:tblPr>
      <w:tblGrid>
        <w:gridCol w:w="4328"/>
        <w:gridCol w:w="1377"/>
        <w:gridCol w:w="1377"/>
      </w:tblGrid>
      <w:tr>
        <w:trPr>
          <w:trHeight w:val="529" w:hRule="atLeast"/>
        </w:trPr>
        <w:tc>
          <w:tcPr>
            <w:tcW w:w="4328" w:type="dxa"/>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年　　度</w:t>
            </w:r>
          </w:p>
        </w:tc>
        <w:tc>
          <w:tcPr>
            <w:tcW w:w="1377" w:type="dxa"/>
            <w:tcBorders>
              <w:top w:val="single" w:color="auto" w:sz="4" w:space="0"/>
              <w:left w:val="nil"/>
              <w:bottom w:val="single" w:color="auto" w:sz="4" w:space="0"/>
              <w:right w:val="trip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基準年</w:t>
            </w:r>
          </w:p>
          <w:p>
            <w:pPr>
              <w:pStyle w:val="0"/>
              <w:snapToGrid w:val="0"/>
              <w:spacing w:line="240" w:lineRule="atLeast"/>
              <w:jc w:val="center"/>
              <w:rPr>
                <w:rFonts w:hint="default" w:ascii="ＭＳ Ｐ明朝" w:hAnsi="ＭＳ Ｐ明朝" w:eastAsia="ＭＳ Ｐ明朝"/>
                <w:kern w:val="0"/>
                <w:sz w:val="20"/>
              </w:rPr>
            </w:pPr>
            <w:r>
              <w:rPr>
                <w:rFonts w:hint="default" w:ascii="ＭＳ Ｐ明朝" w:hAnsi="ＭＳ Ｐ明朝" w:eastAsia="ＭＳ Ｐ明朝"/>
                <w:kern w:val="0"/>
                <w:sz w:val="20"/>
              </w:rPr>
              <w:t>2013</w:t>
            </w:r>
            <w:r>
              <w:rPr>
                <w:rFonts w:hint="eastAsia" w:ascii="ＭＳ Ｐ明朝" w:hAnsi="ＭＳ Ｐ明朝" w:eastAsia="ＭＳ Ｐ明朝"/>
                <w:kern w:val="0"/>
                <w:sz w:val="20"/>
              </w:rPr>
              <w:t>年度</w:t>
            </w:r>
          </w:p>
        </w:tc>
        <w:tc>
          <w:tcPr>
            <w:tcW w:w="1377"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現況年</w:t>
            </w:r>
          </w:p>
          <w:p>
            <w:pPr>
              <w:pStyle w:val="0"/>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2017</w:t>
            </w:r>
            <w:r>
              <w:rPr>
                <w:rFonts w:hint="eastAsia" w:ascii="ＭＳ Ｐ明朝" w:hAnsi="ＭＳ Ｐ明朝" w:eastAsia="ＭＳ Ｐ明朝"/>
                <w:kern w:val="0"/>
                <w:sz w:val="20"/>
              </w:rPr>
              <w:t>年度</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温室効果ガス排出量（千</w:t>
            </w:r>
            <w:r>
              <w:rPr>
                <w:rFonts w:hint="eastAsia" w:ascii="ＭＳ Ｐ明朝" w:hAnsi="ＭＳ Ｐ明朝" w:eastAsia="ＭＳ Ｐ明朝"/>
                <w:kern w:val="0"/>
                <w:sz w:val="20"/>
              </w:rPr>
              <w:t>t-CO</w:t>
            </w:r>
            <w:r>
              <w:rPr>
                <w:rFonts w:hint="eastAsia" w:ascii="ＭＳ Ｐ明朝" w:hAnsi="ＭＳ Ｐ明朝" w:eastAsia="ＭＳ Ｐ明朝"/>
                <w:kern w:val="0"/>
                <w:sz w:val="20"/>
                <w:vertAlign w:val="subscript"/>
              </w:rPr>
              <w:t>2</w:t>
            </w:r>
            <w:r>
              <w:rPr>
                <w:rFonts w:hint="eastAsia" w:ascii="ＭＳ Ｐ明朝" w:hAnsi="ＭＳ Ｐ明朝" w:eastAsia="ＭＳ Ｐ明朝"/>
                <w:kern w:val="0"/>
                <w:sz w:val="20"/>
              </w:rPr>
              <w:t>）</w:t>
            </w:r>
          </w:p>
        </w:tc>
        <w:tc>
          <w:tcPr>
            <w:tcW w:w="1377" w:type="dxa"/>
            <w:tcBorders>
              <w:top w:val="single" w:color="auto" w:sz="4" w:space="0"/>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235.6</w:t>
            </w:r>
          </w:p>
        </w:tc>
        <w:tc>
          <w:tcPr>
            <w:tcW w:w="1377" w:type="dxa"/>
            <w:tcBorders>
              <w:top w:val="single" w:color="auto" w:sz="6" w:space="0"/>
              <w:left w:val="triple" w:color="auto" w:sz="4" w:space="0"/>
              <w:bottom w:val="single" w:color="auto" w:sz="6"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225.3</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参考①</w:t>
            </w:r>
            <w:r>
              <w:rPr>
                <w:rFonts w:hint="eastAsia" w:ascii="ＭＳ Ｐ明朝" w:hAnsi="ＭＳ Ｐ明朝" w:eastAsia="ＭＳ Ｐ明朝"/>
                <w:kern w:val="0"/>
                <w:sz w:val="20"/>
              </w:rPr>
              <w:t xml:space="preserve"> </w:t>
            </w:r>
            <w:r>
              <w:rPr>
                <w:rFonts w:hint="eastAsia" w:ascii="ＭＳ Ｐ明朝" w:hAnsi="ＭＳ Ｐ明朝" w:eastAsia="ＭＳ Ｐ明朝"/>
                <w:kern w:val="0"/>
                <w:sz w:val="20"/>
              </w:rPr>
              <w:t>業務その他の業種の従業者数（人）</w:t>
            </w:r>
          </w:p>
        </w:tc>
        <w:tc>
          <w:tcPr>
            <w:tcW w:w="1377" w:type="dxa"/>
            <w:tcBorders>
              <w:top w:val="nil"/>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default" w:ascii="ＭＳ Ｐ明朝" w:hAnsi="ＭＳ Ｐ明朝" w:eastAsia="ＭＳ Ｐ明朝"/>
                <w:kern w:val="0"/>
                <w:sz w:val="20"/>
              </w:rPr>
              <w:t>39,035</w:t>
            </w:r>
          </w:p>
        </w:tc>
        <w:tc>
          <w:tcPr>
            <w:tcW w:w="1377" w:type="dxa"/>
            <w:tcBorders>
              <w:top w:val="single" w:color="auto" w:sz="6" w:space="0"/>
              <w:left w:val="triple" w:color="auto" w:sz="4" w:space="0"/>
              <w:bottom w:val="single" w:color="auto" w:sz="6"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default" w:ascii="ＭＳ Ｐ明朝" w:hAnsi="ＭＳ Ｐ明朝" w:eastAsia="ＭＳ Ｐ明朝"/>
                <w:kern w:val="0"/>
                <w:sz w:val="20"/>
              </w:rPr>
              <w:t>39,170</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参考②</w:t>
            </w:r>
            <w:r>
              <w:rPr>
                <w:rFonts w:hint="eastAsia" w:ascii="ＭＳ Ｐ明朝" w:hAnsi="ＭＳ Ｐ明朝" w:eastAsia="ＭＳ Ｐ明朝"/>
                <w:kern w:val="0"/>
                <w:sz w:val="20"/>
              </w:rPr>
              <w:t xml:space="preserve"> </w:t>
            </w:r>
            <w:r>
              <w:rPr>
                <w:rFonts w:hint="eastAsia" w:ascii="ＭＳ Ｐ明朝" w:hAnsi="ＭＳ Ｐ明朝" w:eastAsia="ＭＳ Ｐ明朝"/>
                <w:kern w:val="0"/>
                <w:sz w:val="20"/>
              </w:rPr>
              <w:t>電力の排出係数（千</w:t>
            </w:r>
            <w:r>
              <w:rPr>
                <w:rFonts w:hint="eastAsia" w:ascii="ＭＳ Ｐ明朝" w:hAnsi="ＭＳ Ｐ明朝" w:eastAsia="ＭＳ Ｐ明朝"/>
                <w:kern w:val="0"/>
                <w:sz w:val="20"/>
              </w:rPr>
              <w:t>t</w:t>
            </w:r>
            <w:r>
              <w:rPr>
                <w:rFonts w:hint="default" w:ascii="ＭＳ Ｐ明朝" w:hAnsi="ＭＳ Ｐ明朝" w:eastAsia="ＭＳ Ｐ明朝"/>
                <w:kern w:val="0"/>
                <w:sz w:val="20"/>
              </w:rPr>
              <w:t>-</w:t>
            </w:r>
            <w:r>
              <w:rPr>
                <w:rFonts w:hint="eastAsia" w:ascii="ＭＳ Ｐ明朝" w:hAnsi="ＭＳ Ｐ明朝" w:eastAsia="ＭＳ Ｐ明朝"/>
                <w:kern w:val="0"/>
                <w:sz w:val="20"/>
              </w:rPr>
              <w:t>CO</w:t>
            </w:r>
            <w:r>
              <w:rPr>
                <w:rFonts w:hint="eastAsia" w:ascii="ＭＳ Ｐ明朝" w:hAnsi="ＭＳ Ｐ明朝" w:eastAsia="ＭＳ Ｐ明朝"/>
                <w:kern w:val="0"/>
                <w:sz w:val="20"/>
                <w:vertAlign w:val="subscript"/>
              </w:rPr>
              <w:t>2</w:t>
            </w:r>
            <w:r>
              <w:rPr>
                <w:rFonts w:hint="eastAsia" w:ascii="ＭＳ Ｐ明朝" w:hAnsi="ＭＳ Ｐ明朝" w:eastAsia="ＭＳ Ｐ明朝"/>
                <w:kern w:val="0"/>
                <w:sz w:val="20"/>
              </w:rPr>
              <w:t>/</w:t>
            </w:r>
            <w:r>
              <w:rPr>
                <w:rFonts w:hint="eastAsia" w:ascii="ＭＳ Ｐ明朝" w:hAnsi="ＭＳ Ｐ明朝" w:eastAsia="ＭＳ Ｐ明朝"/>
                <w:kern w:val="0"/>
                <w:sz w:val="20"/>
              </w:rPr>
              <w:t>百万</w:t>
            </w:r>
            <w:r>
              <w:rPr>
                <w:rFonts w:hint="eastAsia" w:ascii="ＭＳ Ｐ明朝" w:hAnsi="ＭＳ Ｐ明朝" w:eastAsia="ＭＳ Ｐ明朝"/>
                <w:kern w:val="0"/>
                <w:sz w:val="20"/>
              </w:rPr>
              <w:t>kWh</w:t>
            </w:r>
            <w:r>
              <w:rPr>
                <w:rFonts w:hint="eastAsia" w:ascii="ＭＳ Ｐ明朝" w:hAnsi="ＭＳ Ｐ明朝" w:eastAsia="ＭＳ Ｐ明朝"/>
                <w:kern w:val="0"/>
                <w:sz w:val="20"/>
              </w:rPr>
              <w:t>）</w:t>
            </w:r>
          </w:p>
        </w:tc>
        <w:tc>
          <w:tcPr>
            <w:tcW w:w="1377" w:type="dxa"/>
            <w:tcBorders>
              <w:top w:val="nil"/>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0.</w:t>
            </w:r>
            <w:r>
              <w:rPr>
                <w:rFonts w:hint="default" w:ascii="ＭＳ Ｐ明朝" w:hAnsi="ＭＳ Ｐ明朝" w:eastAsia="ＭＳ Ｐ明朝"/>
                <w:kern w:val="0"/>
                <w:sz w:val="20"/>
              </w:rPr>
              <w:t>719</w:t>
            </w:r>
          </w:p>
        </w:tc>
        <w:tc>
          <w:tcPr>
            <w:tcW w:w="1377"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0.677</w:t>
            </w:r>
          </w:p>
        </w:tc>
      </w:tr>
    </w:tbl>
    <w:p>
      <w:pPr>
        <w:pStyle w:val="0"/>
        <w:spacing w:line="240" w:lineRule="exact"/>
        <w:ind w:left="1050" w:leftChars="500"/>
        <w:rPr>
          <w:rFonts w:hint="default" w:ascii="ＭＳ Ｐ明朝" w:hAnsi="ＭＳ Ｐ明朝" w:eastAsia="ＭＳ Ｐ明朝"/>
          <w:sz w:val="18"/>
        </w:rPr>
      </w:pPr>
      <w:r>
        <w:rPr>
          <w:rFonts w:hint="eastAsia" w:ascii="ＭＳ Ｐ明朝" w:hAnsi="ＭＳ Ｐ明朝" w:eastAsia="ＭＳ Ｐ明朝"/>
          <w:sz w:val="18"/>
        </w:rPr>
        <w:t>参考出典：①経済センサス基礎調査</w:t>
      </w:r>
    </w:p>
    <w:p>
      <w:pPr>
        <w:pStyle w:val="0"/>
        <w:spacing w:line="240" w:lineRule="exact"/>
        <w:ind w:left="1497" w:leftChars="713" w:firstLine="360" w:firstLineChars="200"/>
        <w:rPr>
          <w:rFonts w:hint="default" w:ascii="ＭＳ Ｐ明朝" w:hAnsi="ＭＳ Ｐ明朝" w:eastAsia="ＭＳ Ｐ明朝"/>
          <w:sz w:val="18"/>
        </w:rPr>
      </w:pPr>
      <w:r>
        <w:rPr>
          <w:rFonts w:hint="eastAsia" w:ascii="ＭＳ Ｐ明朝" w:hAnsi="ＭＳ Ｐ明朝" w:eastAsia="ＭＳ Ｐ明朝"/>
          <w:sz w:val="18"/>
        </w:rPr>
        <w:t>②中国電力</w:t>
      </w:r>
      <w:r>
        <w:rPr>
          <w:rFonts w:hint="eastAsia" w:ascii="ＭＳ Ｐ明朝" w:hAnsi="ＭＳ Ｐ明朝" w:eastAsia="ＭＳ Ｐ明朝"/>
          <w:sz w:val="18"/>
        </w:rPr>
        <w:t>(</w:t>
      </w:r>
      <w:r>
        <w:rPr>
          <w:rFonts w:hint="eastAsia" w:ascii="ＭＳ Ｐ明朝" w:hAnsi="ＭＳ Ｐ明朝" w:eastAsia="ＭＳ Ｐ明朝"/>
          <w:sz w:val="18"/>
        </w:rPr>
        <w:t>株</w:t>
      </w:r>
      <w:r>
        <w:rPr>
          <w:rFonts w:hint="eastAsia" w:ascii="ＭＳ Ｐ明朝" w:hAnsi="ＭＳ Ｐ明朝" w:eastAsia="ＭＳ Ｐ明朝"/>
          <w:sz w:val="18"/>
        </w:rPr>
        <w:t>)</w:t>
      </w:r>
      <w:r>
        <w:rPr>
          <w:rFonts w:hint="eastAsia" w:ascii="ＭＳ Ｐ明朝" w:hAnsi="ＭＳ Ｐ明朝" w:eastAsia="ＭＳ Ｐ明朝"/>
          <w:sz w:val="18"/>
        </w:rPr>
        <w:t>ホームページ（実排出係数）</w:t>
      </w:r>
    </w:p>
    <w:p>
      <w:pPr>
        <w:pStyle w:val="0"/>
        <w:ind w:left="420" w:leftChars="200"/>
        <w:rPr>
          <w:rFonts w:hint="default" w:ascii="ＭＳ 明朝" w:hAnsi="ＭＳ 明朝"/>
        </w:rPr>
      </w:pPr>
    </w:p>
    <w:p>
      <w:pPr>
        <w:pStyle w:val="0"/>
        <w:ind w:left="210" w:leftChars="100" w:firstLine="210" w:firstLineChars="100"/>
        <w:rPr>
          <w:rFonts w:hint="default" w:ascii="ＭＳ 明朝" w:hAnsi="ＭＳ 明朝"/>
        </w:rPr>
      </w:pPr>
      <w:bookmarkStart w:id="1" w:name="_Hlk497926222"/>
      <w:r>
        <w:rPr>
          <w:rFonts w:hint="eastAsia" w:ascii="ＭＳ 明朝" w:hAnsi="ＭＳ 明朝"/>
        </w:rPr>
        <mc:AlternateContent>
          <mc:Choice Requires="wps">
            <w:drawing>
              <wp:anchor distT="0" distB="0" distL="114300" distR="114300" simplePos="0" relativeHeight="67" behindDoc="0" locked="0" layoutInCell="1" hidden="0" allowOverlap="1">
                <wp:simplePos x="0" y="0"/>
                <wp:positionH relativeFrom="column">
                  <wp:posOffset>80645</wp:posOffset>
                </wp:positionH>
                <wp:positionV relativeFrom="paragraph">
                  <wp:posOffset>129540</wp:posOffset>
                </wp:positionV>
                <wp:extent cx="1187450" cy="304800"/>
                <wp:effectExtent l="635" t="635" r="635" b="635"/>
                <wp:wrapNone/>
                <wp:docPr id="1080" name="四角形: 角を丸くする 112"/>
                <a:graphic xmlns:a="http://schemas.openxmlformats.org/drawingml/2006/main">
                  <a:graphicData uri="http://schemas.microsoft.com/office/word/2010/wordprocessingShape">
                    <wps:wsp>
                      <wps:cNvPr id="1080" name="四角形: 角を丸くする 112"/>
                      <wps:cNvSpPr/>
                      <wps:spPr>
                        <a:xfrm>
                          <a:off x="0" y="0"/>
                          <a:ext cx="1187450" cy="304800"/>
                        </a:xfrm>
                        <a:prstGeom prst="roundRect">
                          <a:avLst>
                            <a:gd name="adj" fmla="val 50000"/>
                          </a:avLst>
                        </a:prstGeom>
                        <a:solidFill>
                          <a:srgbClr val="FF8B8B"/>
                        </a:solidFill>
                        <a:ln w="12700" cap="flat" cmpd="sng" algn="ctr">
                          <a:noFill/>
                          <a:prstDash val="solid"/>
                          <a:miter lim="800000"/>
                        </a:ln>
                        <a:effectLst/>
                      </wps:spPr>
                      <wps:txbx>
                        <w:txbxContent>
                          <w:p>
                            <w:pPr>
                              <w:pStyle w:val="26"/>
                              <w:ind w:left="210"/>
                              <w:rPr>
                                <w:rFonts w:hint="default"/>
                              </w:rPr>
                            </w:pPr>
                            <w:r>
                              <w:rPr>
                                <w:rFonts w:hint="eastAsia"/>
                              </w:rPr>
                              <w:t>⑤</w:t>
                            </w:r>
                            <w:r>
                              <w:rPr>
                                <w:rFonts w:hint="eastAsia"/>
                              </w:rPr>
                              <w:t xml:space="preserve"> </w:t>
                            </w:r>
                            <w:r>
                              <w:rPr>
                                <w:rFonts w:hint="eastAsia"/>
                              </w:rPr>
                              <w:t>家庭部門</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112" style="mso-wrap-distance-right:9pt;mso-wrap-distance-bottom:0pt;margin-top:10.19pt;mso-position-vertical-relative:text;mso-position-horizontal-relative:text;v-text-anchor:middle;position:absolute;height:24pt;mso-wrap-distance-top:0pt;width:93.5pt;mso-wrap-distance-left:9pt;margin-left:6.35pt;z-index:67;" o:spid="_x0000_s1080" o:allowincell="t" o:allowoverlap="t" filled="t" fillcolor="#ff8b8b" stroked="f" strokeweight="1pt" o:spt="2" arcsize="32768f">
                <v:fill/>
                <v:stroke linestyle="single" miterlimit="8" endcap="flat" dashstyle="solid"/>
                <v:textbox style="layout-flow:horizontal;" inset="0mm,0mm,0mm,0mm">
                  <w:txbxContent>
                    <w:p>
                      <w:pPr>
                        <w:pStyle w:val="26"/>
                        <w:ind w:left="210"/>
                        <w:rPr>
                          <w:rFonts w:hint="default"/>
                        </w:rPr>
                      </w:pPr>
                      <w:r>
                        <w:rPr>
                          <w:rFonts w:hint="eastAsia"/>
                        </w:rPr>
                        <w:t>⑤</w:t>
                      </w:r>
                      <w:r>
                        <w:rPr>
                          <w:rFonts w:hint="eastAsia"/>
                        </w:rPr>
                        <w:t xml:space="preserve"> </w:t>
                      </w:r>
                      <w:r>
                        <w:rPr>
                          <w:rFonts w:hint="eastAsia"/>
                        </w:rPr>
                        <w:t>家庭部門</w:t>
                      </w:r>
                    </w:p>
                  </w:txbxContent>
                </v:textbox>
                <v:imagedata o:title=""/>
                <w10:wrap type="none" anchorx="text" anchory="text"/>
              </v:roundrect>
            </w:pict>
          </mc:Fallback>
        </mc:AlternateContent>
      </w:r>
    </w:p>
    <w:p>
      <w:pPr>
        <w:pStyle w:val="0"/>
        <w:ind w:left="210" w:leftChars="100"/>
        <w:rPr>
          <w:rFonts w:hint="default"/>
          <w:b w:val="1"/>
        </w:rPr>
      </w:pPr>
    </w:p>
    <w:p>
      <w:pPr>
        <w:pStyle w:val="0"/>
        <w:spacing w:before="180" w:beforeLines="50" w:beforeAutospacing="0" w:line="360" w:lineRule="exact"/>
        <w:ind w:left="630" w:leftChars="300" w:firstLine="210" w:firstLineChars="100"/>
        <w:rPr>
          <w:rFonts w:hint="default" w:ascii="ＭＳ 明朝" w:hAnsi="ＭＳ 明朝"/>
        </w:rPr>
      </w:pPr>
      <w:bookmarkEnd w:id="1"/>
      <w:r>
        <w:rPr>
          <w:rFonts w:hint="eastAsia" w:ascii="ＭＳ ゴシック" w:hAnsi="ＭＳ ゴシック" w:eastAsia="ＭＳ ゴシック"/>
        </w:rPr>
        <w:t>部門別の温室効果ガス排出量推計（家庭部門）</w:t>
      </w:r>
    </w:p>
    <w:tbl>
      <w:tblPr>
        <w:tblStyle w:val="11"/>
        <w:tblW w:w="7082" w:type="dxa"/>
        <w:tblInd w:w="912" w:type="dxa"/>
        <w:tblLayout w:type="fixed"/>
        <w:tblCellMar>
          <w:left w:w="99" w:type="dxa"/>
          <w:right w:w="99" w:type="dxa"/>
        </w:tblCellMar>
        <w:tblLook w:firstRow="0" w:lastRow="0" w:firstColumn="0" w:lastColumn="0" w:noHBand="0" w:noVBand="0" w:val="0000"/>
      </w:tblPr>
      <w:tblGrid>
        <w:gridCol w:w="4328"/>
        <w:gridCol w:w="1377"/>
        <w:gridCol w:w="1377"/>
      </w:tblGrid>
      <w:tr>
        <w:trPr>
          <w:trHeight w:val="529" w:hRule="atLeast"/>
        </w:trPr>
        <w:tc>
          <w:tcPr>
            <w:tcW w:w="4328" w:type="dxa"/>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年　　度</w:t>
            </w:r>
          </w:p>
        </w:tc>
        <w:tc>
          <w:tcPr>
            <w:tcW w:w="1377" w:type="dxa"/>
            <w:tcBorders>
              <w:top w:val="single" w:color="auto" w:sz="4" w:space="0"/>
              <w:left w:val="nil"/>
              <w:bottom w:val="single" w:color="auto" w:sz="4" w:space="0"/>
              <w:right w:val="trip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基準年</w:t>
            </w:r>
          </w:p>
          <w:p>
            <w:pPr>
              <w:pStyle w:val="0"/>
              <w:snapToGrid w:val="0"/>
              <w:spacing w:line="240" w:lineRule="atLeast"/>
              <w:jc w:val="center"/>
              <w:rPr>
                <w:rFonts w:hint="default" w:ascii="ＭＳ Ｐ明朝" w:hAnsi="ＭＳ Ｐ明朝" w:eastAsia="ＭＳ Ｐ明朝"/>
                <w:kern w:val="0"/>
                <w:sz w:val="20"/>
              </w:rPr>
            </w:pPr>
            <w:r>
              <w:rPr>
                <w:rFonts w:hint="default" w:ascii="ＭＳ Ｐ明朝" w:hAnsi="ＭＳ Ｐ明朝" w:eastAsia="ＭＳ Ｐ明朝"/>
                <w:kern w:val="0"/>
                <w:sz w:val="20"/>
              </w:rPr>
              <w:t>2013</w:t>
            </w:r>
            <w:r>
              <w:rPr>
                <w:rFonts w:hint="eastAsia" w:ascii="ＭＳ Ｐ明朝" w:hAnsi="ＭＳ Ｐ明朝" w:eastAsia="ＭＳ Ｐ明朝"/>
                <w:kern w:val="0"/>
                <w:sz w:val="20"/>
              </w:rPr>
              <w:t>年度</w:t>
            </w:r>
          </w:p>
        </w:tc>
        <w:tc>
          <w:tcPr>
            <w:tcW w:w="1377"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現況年</w:t>
            </w:r>
          </w:p>
          <w:p>
            <w:pPr>
              <w:pStyle w:val="0"/>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2018</w:t>
            </w:r>
            <w:r>
              <w:rPr>
                <w:rFonts w:hint="eastAsia" w:ascii="ＭＳ Ｐ明朝" w:hAnsi="ＭＳ Ｐ明朝" w:eastAsia="ＭＳ Ｐ明朝"/>
                <w:kern w:val="0"/>
                <w:sz w:val="20"/>
              </w:rPr>
              <w:t>年度</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温室効果ガス排出量（千</w:t>
            </w:r>
            <w:r>
              <w:rPr>
                <w:rFonts w:hint="eastAsia" w:ascii="ＭＳ Ｐ明朝" w:hAnsi="ＭＳ Ｐ明朝" w:eastAsia="ＭＳ Ｐ明朝"/>
                <w:kern w:val="0"/>
                <w:sz w:val="20"/>
              </w:rPr>
              <w:t>t-CO</w:t>
            </w:r>
            <w:r>
              <w:rPr>
                <w:rFonts w:hint="eastAsia" w:ascii="ＭＳ Ｐ明朝" w:hAnsi="ＭＳ Ｐ明朝" w:eastAsia="ＭＳ Ｐ明朝"/>
                <w:kern w:val="0"/>
                <w:sz w:val="20"/>
                <w:vertAlign w:val="subscript"/>
              </w:rPr>
              <w:t>2</w:t>
            </w:r>
            <w:r>
              <w:rPr>
                <w:rFonts w:hint="eastAsia" w:ascii="ＭＳ Ｐ明朝" w:hAnsi="ＭＳ Ｐ明朝" w:eastAsia="ＭＳ Ｐ明朝"/>
                <w:kern w:val="0"/>
                <w:sz w:val="20"/>
              </w:rPr>
              <w:t>）</w:t>
            </w:r>
          </w:p>
        </w:tc>
        <w:tc>
          <w:tcPr>
            <w:tcW w:w="1377" w:type="dxa"/>
            <w:tcBorders>
              <w:top w:val="single" w:color="auto" w:sz="4" w:space="0"/>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136.7</w:t>
            </w:r>
          </w:p>
        </w:tc>
        <w:tc>
          <w:tcPr>
            <w:tcW w:w="1377" w:type="dxa"/>
            <w:tcBorders>
              <w:top w:val="single" w:color="auto" w:sz="6" w:space="0"/>
              <w:left w:val="triple" w:color="auto" w:sz="4" w:space="0"/>
              <w:bottom w:val="single" w:color="auto" w:sz="6"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170.9</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参考①</w:t>
            </w:r>
            <w:r>
              <w:rPr>
                <w:rFonts w:hint="eastAsia" w:ascii="ＭＳ Ｐ明朝" w:hAnsi="ＭＳ Ｐ明朝" w:eastAsia="ＭＳ Ｐ明朝"/>
                <w:kern w:val="0"/>
                <w:sz w:val="20"/>
              </w:rPr>
              <w:t xml:space="preserve"> </w:t>
            </w:r>
            <w:r>
              <w:rPr>
                <w:rFonts w:hint="eastAsia" w:ascii="ＭＳ Ｐ明朝" w:hAnsi="ＭＳ Ｐ明朝" w:eastAsia="ＭＳ Ｐ明朝"/>
                <w:kern w:val="0"/>
                <w:sz w:val="20"/>
              </w:rPr>
              <w:t>世帯数（世帯）</w:t>
            </w:r>
          </w:p>
        </w:tc>
        <w:tc>
          <w:tcPr>
            <w:tcW w:w="1377" w:type="dxa"/>
            <w:tcBorders>
              <w:top w:val="nil"/>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44,519</w:t>
            </w:r>
          </w:p>
        </w:tc>
        <w:tc>
          <w:tcPr>
            <w:tcW w:w="1377" w:type="dxa"/>
            <w:tcBorders>
              <w:top w:val="single" w:color="auto" w:sz="6" w:space="0"/>
              <w:left w:val="triple" w:color="auto" w:sz="4" w:space="0"/>
              <w:bottom w:val="single" w:color="auto" w:sz="6"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45,126</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参考②</w:t>
            </w:r>
            <w:r>
              <w:rPr>
                <w:rFonts w:hint="eastAsia" w:ascii="ＭＳ Ｐ明朝" w:hAnsi="ＭＳ Ｐ明朝" w:eastAsia="ＭＳ Ｐ明朝"/>
                <w:kern w:val="0"/>
                <w:sz w:val="20"/>
              </w:rPr>
              <w:t xml:space="preserve"> </w:t>
            </w:r>
            <w:r>
              <w:rPr>
                <w:rFonts w:hint="eastAsia" w:ascii="ＭＳ Ｐ明朝" w:hAnsi="ＭＳ Ｐ明朝" w:eastAsia="ＭＳ Ｐ明朝"/>
                <w:kern w:val="0"/>
                <w:sz w:val="20"/>
              </w:rPr>
              <w:t>電力の排出係数（千</w:t>
            </w:r>
            <w:r>
              <w:rPr>
                <w:rFonts w:hint="eastAsia" w:ascii="ＭＳ Ｐ明朝" w:hAnsi="ＭＳ Ｐ明朝" w:eastAsia="ＭＳ Ｐ明朝"/>
                <w:kern w:val="0"/>
                <w:sz w:val="20"/>
              </w:rPr>
              <w:t>t</w:t>
            </w:r>
            <w:r>
              <w:rPr>
                <w:rFonts w:hint="default" w:ascii="ＭＳ Ｐ明朝" w:hAnsi="ＭＳ Ｐ明朝" w:eastAsia="ＭＳ Ｐ明朝"/>
                <w:kern w:val="0"/>
                <w:sz w:val="20"/>
              </w:rPr>
              <w:t>-</w:t>
            </w:r>
            <w:r>
              <w:rPr>
                <w:rFonts w:hint="eastAsia" w:ascii="ＭＳ Ｐ明朝" w:hAnsi="ＭＳ Ｐ明朝" w:eastAsia="ＭＳ Ｐ明朝"/>
                <w:kern w:val="0"/>
                <w:sz w:val="20"/>
              </w:rPr>
              <w:t>CO</w:t>
            </w:r>
            <w:r>
              <w:rPr>
                <w:rFonts w:hint="eastAsia" w:ascii="ＭＳ Ｐ明朝" w:hAnsi="ＭＳ Ｐ明朝" w:eastAsia="ＭＳ Ｐ明朝"/>
                <w:kern w:val="0"/>
                <w:sz w:val="20"/>
                <w:vertAlign w:val="subscript"/>
              </w:rPr>
              <w:t>2</w:t>
            </w:r>
            <w:r>
              <w:rPr>
                <w:rFonts w:hint="eastAsia" w:ascii="ＭＳ Ｐ明朝" w:hAnsi="ＭＳ Ｐ明朝" w:eastAsia="ＭＳ Ｐ明朝"/>
                <w:kern w:val="0"/>
                <w:sz w:val="20"/>
              </w:rPr>
              <w:t>/</w:t>
            </w:r>
            <w:r>
              <w:rPr>
                <w:rFonts w:hint="eastAsia" w:ascii="ＭＳ Ｐ明朝" w:hAnsi="ＭＳ Ｐ明朝" w:eastAsia="ＭＳ Ｐ明朝"/>
                <w:kern w:val="0"/>
                <w:sz w:val="20"/>
              </w:rPr>
              <w:t>百万</w:t>
            </w:r>
            <w:r>
              <w:rPr>
                <w:rFonts w:hint="eastAsia" w:ascii="ＭＳ Ｐ明朝" w:hAnsi="ＭＳ Ｐ明朝" w:eastAsia="ＭＳ Ｐ明朝"/>
                <w:kern w:val="0"/>
                <w:sz w:val="20"/>
              </w:rPr>
              <w:t>kWh</w:t>
            </w:r>
            <w:r>
              <w:rPr>
                <w:rFonts w:hint="eastAsia" w:ascii="ＭＳ Ｐ明朝" w:hAnsi="ＭＳ Ｐ明朝" w:eastAsia="ＭＳ Ｐ明朝"/>
                <w:kern w:val="0"/>
                <w:sz w:val="20"/>
              </w:rPr>
              <w:t>）</w:t>
            </w:r>
          </w:p>
        </w:tc>
        <w:tc>
          <w:tcPr>
            <w:tcW w:w="1377" w:type="dxa"/>
            <w:tcBorders>
              <w:top w:val="nil"/>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0.</w:t>
            </w:r>
            <w:r>
              <w:rPr>
                <w:rFonts w:hint="default" w:ascii="ＭＳ Ｐ明朝" w:hAnsi="ＭＳ Ｐ明朝" w:eastAsia="ＭＳ Ｐ明朝"/>
                <w:kern w:val="0"/>
                <w:sz w:val="20"/>
              </w:rPr>
              <w:t>719</w:t>
            </w:r>
          </w:p>
        </w:tc>
        <w:tc>
          <w:tcPr>
            <w:tcW w:w="1377"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0.636</w:t>
            </w:r>
          </w:p>
        </w:tc>
      </w:tr>
    </w:tbl>
    <w:p>
      <w:pPr>
        <w:pStyle w:val="0"/>
        <w:spacing w:line="240" w:lineRule="exact"/>
        <w:ind w:left="1050" w:leftChars="500"/>
        <w:rPr>
          <w:rFonts w:hint="default" w:ascii="ＭＳ Ｐ明朝" w:hAnsi="ＭＳ Ｐ明朝" w:eastAsia="ＭＳ Ｐ明朝"/>
          <w:sz w:val="18"/>
        </w:rPr>
      </w:pPr>
      <w:r>
        <w:rPr>
          <w:rFonts w:hint="eastAsia" w:ascii="ＭＳ Ｐ明朝" w:hAnsi="ＭＳ Ｐ明朝" w:eastAsia="ＭＳ Ｐ明朝"/>
          <w:sz w:val="18"/>
        </w:rPr>
        <w:t>参考出典：①津山市統計書（資料：住民基本台帳）</w:t>
      </w:r>
    </w:p>
    <w:p>
      <w:pPr>
        <w:pStyle w:val="0"/>
        <w:spacing w:line="240" w:lineRule="exact"/>
        <w:ind w:left="1497" w:leftChars="713" w:firstLine="360" w:firstLineChars="200"/>
        <w:rPr>
          <w:rFonts w:hint="default" w:ascii="ＭＳ Ｐ明朝" w:hAnsi="ＭＳ Ｐ明朝" w:eastAsia="ＭＳ Ｐ明朝"/>
          <w:sz w:val="18"/>
        </w:rPr>
      </w:pPr>
      <w:r>
        <w:rPr>
          <w:rFonts w:hint="eastAsia" w:ascii="ＭＳ Ｐ明朝" w:hAnsi="ＭＳ Ｐ明朝" w:eastAsia="ＭＳ Ｐ明朝"/>
          <w:sz w:val="18"/>
        </w:rPr>
        <w:t>②中国電力</w:t>
      </w:r>
      <w:r>
        <w:rPr>
          <w:rFonts w:hint="eastAsia" w:ascii="ＭＳ Ｐ明朝" w:hAnsi="ＭＳ Ｐ明朝" w:eastAsia="ＭＳ Ｐ明朝"/>
          <w:sz w:val="18"/>
        </w:rPr>
        <w:t>(</w:t>
      </w:r>
      <w:r>
        <w:rPr>
          <w:rFonts w:hint="eastAsia" w:ascii="ＭＳ Ｐ明朝" w:hAnsi="ＭＳ Ｐ明朝" w:eastAsia="ＭＳ Ｐ明朝"/>
          <w:sz w:val="18"/>
        </w:rPr>
        <w:t>株</w:t>
      </w:r>
      <w:r>
        <w:rPr>
          <w:rFonts w:hint="eastAsia" w:ascii="ＭＳ Ｐ明朝" w:hAnsi="ＭＳ Ｐ明朝" w:eastAsia="ＭＳ Ｐ明朝"/>
          <w:sz w:val="18"/>
        </w:rPr>
        <w:t>)</w:t>
      </w:r>
      <w:r>
        <w:rPr>
          <w:rFonts w:hint="eastAsia" w:ascii="ＭＳ Ｐ明朝" w:hAnsi="ＭＳ Ｐ明朝" w:eastAsia="ＭＳ Ｐ明朝"/>
          <w:sz w:val="18"/>
        </w:rPr>
        <w:t>ホームページ（実排出係数）</w:t>
      </w:r>
    </w:p>
    <w:p>
      <w:pPr>
        <w:pStyle w:val="0"/>
        <w:ind w:left="420" w:leftChars="200"/>
        <w:rPr>
          <w:rFonts w:hint="default" w:ascii="ＭＳ 明朝" w:hAnsi="ＭＳ 明朝"/>
        </w:rPr>
      </w:pPr>
    </w:p>
    <w:p>
      <w:pPr>
        <w:pStyle w:val="0"/>
        <w:ind w:left="210" w:leftChars="100" w:firstLine="210" w:firstLineChars="100"/>
        <w:rPr>
          <w:rFonts w:hint="default" w:ascii="ＭＳ 明朝" w:hAnsi="ＭＳ 明朝"/>
        </w:rPr>
      </w:pPr>
      <w:r>
        <w:rPr>
          <w:rFonts w:hint="eastAsia" w:ascii="ＭＳ 明朝" w:hAnsi="ＭＳ 明朝"/>
        </w:rPr>
        <mc:AlternateContent>
          <mc:Choice Requires="wps">
            <w:drawing>
              <wp:anchor distT="0" distB="0" distL="114300" distR="114300" simplePos="0" relativeHeight="68" behindDoc="0" locked="0" layoutInCell="1" hidden="0" allowOverlap="1">
                <wp:simplePos x="0" y="0"/>
                <wp:positionH relativeFrom="column">
                  <wp:posOffset>80645</wp:posOffset>
                </wp:positionH>
                <wp:positionV relativeFrom="paragraph">
                  <wp:posOffset>131445</wp:posOffset>
                </wp:positionV>
                <wp:extent cx="1835785" cy="304800"/>
                <wp:effectExtent l="635" t="635" r="635" b="635"/>
                <wp:wrapNone/>
                <wp:docPr id="1081" name="四角形: 角を丸くする 113"/>
                <a:graphic xmlns:a="http://schemas.openxmlformats.org/drawingml/2006/main">
                  <a:graphicData uri="http://schemas.microsoft.com/office/word/2010/wordprocessingShape">
                    <wps:wsp>
                      <wps:cNvPr id="1081" name="四角形: 角を丸くする 113"/>
                      <wps:cNvSpPr/>
                      <wps:spPr>
                        <a:xfrm>
                          <a:off x="0" y="0"/>
                          <a:ext cx="1835785" cy="304800"/>
                        </a:xfrm>
                        <a:prstGeom prst="roundRect">
                          <a:avLst>
                            <a:gd name="adj" fmla="val 50000"/>
                          </a:avLst>
                        </a:prstGeom>
                        <a:solidFill>
                          <a:srgbClr val="FF8B8B"/>
                        </a:solidFill>
                        <a:ln w="12700" cap="flat" cmpd="sng" algn="ctr">
                          <a:noFill/>
                          <a:prstDash val="solid"/>
                          <a:miter lim="800000"/>
                        </a:ln>
                        <a:effectLst/>
                      </wps:spPr>
                      <wps:txbx>
                        <w:txbxContent>
                          <w:p>
                            <w:pPr>
                              <w:pStyle w:val="26"/>
                              <w:ind w:left="210"/>
                              <w:rPr>
                                <w:rFonts w:hint="default"/>
                              </w:rPr>
                            </w:pPr>
                            <w:r>
                              <w:rPr>
                                <w:rFonts w:hint="eastAsia"/>
                              </w:rPr>
                              <w:t>⑥</w:t>
                            </w:r>
                            <w:r>
                              <w:rPr>
                                <w:rFonts w:hint="eastAsia"/>
                              </w:rPr>
                              <w:t xml:space="preserve"> </w:t>
                            </w:r>
                            <w:r>
                              <w:rPr>
                                <w:rFonts w:hint="eastAsia"/>
                              </w:rPr>
                              <w:t>運輸部門（</w:t>
                            </w:r>
                            <w:r>
                              <w:rPr>
                                <w:rFonts w:hint="default"/>
                              </w:rPr>
                              <w:t>自動車）</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113" style="mso-wrap-distance-right:9pt;mso-wrap-distance-bottom:0pt;margin-top:10.35pt;mso-position-vertical-relative:text;mso-position-horizontal-relative:text;v-text-anchor:middle;position:absolute;height:24pt;mso-wrap-distance-top:0pt;width:144.55000000000001pt;mso-wrap-distance-left:9pt;margin-left:6.35pt;z-index:68;" o:spid="_x0000_s1081" o:allowincell="t" o:allowoverlap="t" filled="t" fillcolor="#ff8b8b" stroked="f" strokeweight="1pt" o:spt="2" arcsize="32768f">
                <v:fill/>
                <v:stroke linestyle="single" miterlimit="8" endcap="flat" dashstyle="solid"/>
                <v:textbox style="layout-flow:horizontal;" inset="0mm,0mm,0mm,0mm">
                  <w:txbxContent>
                    <w:p>
                      <w:pPr>
                        <w:pStyle w:val="26"/>
                        <w:ind w:left="210"/>
                        <w:rPr>
                          <w:rFonts w:hint="default"/>
                        </w:rPr>
                      </w:pPr>
                      <w:r>
                        <w:rPr>
                          <w:rFonts w:hint="eastAsia"/>
                        </w:rPr>
                        <w:t>⑥</w:t>
                      </w:r>
                      <w:r>
                        <w:rPr>
                          <w:rFonts w:hint="eastAsia"/>
                        </w:rPr>
                        <w:t xml:space="preserve"> </w:t>
                      </w:r>
                      <w:r>
                        <w:rPr>
                          <w:rFonts w:hint="eastAsia"/>
                        </w:rPr>
                        <w:t>運輸部門（</w:t>
                      </w:r>
                      <w:r>
                        <w:rPr>
                          <w:rFonts w:hint="default"/>
                        </w:rPr>
                        <w:t>自動車）</w:t>
                      </w:r>
                    </w:p>
                  </w:txbxContent>
                </v:textbox>
                <v:imagedata o:title=""/>
                <w10:wrap type="none" anchorx="text" anchory="text"/>
              </v:roundrect>
            </w:pict>
          </mc:Fallback>
        </mc:AlternateContent>
      </w:r>
    </w:p>
    <w:p>
      <w:pPr>
        <w:pStyle w:val="0"/>
        <w:ind w:left="210" w:leftChars="100"/>
        <w:rPr>
          <w:rFonts w:hint="default"/>
          <w:b w:val="1"/>
        </w:rPr>
      </w:pPr>
    </w:p>
    <w:p>
      <w:pPr>
        <w:pStyle w:val="0"/>
        <w:spacing w:before="180" w:beforeLines="50" w:beforeAutospacing="0" w:line="360" w:lineRule="exact"/>
        <w:ind w:left="630" w:leftChars="300" w:firstLine="210" w:firstLineChars="100"/>
        <w:rPr>
          <w:rFonts w:hint="default" w:ascii="ＭＳ 明朝" w:hAnsi="ＭＳ 明朝"/>
        </w:rPr>
      </w:pPr>
      <w:r>
        <w:rPr>
          <w:rFonts w:hint="eastAsia" w:ascii="ＭＳ ゴシック" w:hAnsi="ＭＳ ゴシック" w:eastAsia="ＭＳ ゴシック"/>
        </w:rPr>
        <w:t>部門別の温室効果ガス排出量推計（運輸部門</w:t>
      </w:r>
      <w:r>
        <w:rPr>
          <w:rFonts w:hint="eastAsia" w:ascii="ＭＳ ゴシック" w:hAnsi="ＭＳ ゴシック" w:eastAsia="ＭＳ ゴシック"/>
        </w:rPr>
        <w:t>(</w:t>
      </w:r>
      <w:r>
        <w:rPr>
          <w:rFonts w:hint="eastAsia" w:ascii="ＭＳ ゴシック" w:hAnsi="ＭＳ ゴシック" w:eastAsia="ＭＳ ゴシック"/>
        </w:rPr>
        <w:t>自動車</w:t>
      </w:r>
      <w:r>
        <w:rPr>
          <w:rFonts w:hint="eastAsia" w:ascii="ＭＳ ゴシック" w:hAnsi="ＭＳ ゴシック" w:eastAsia="ＭＳ ゴシック"/>
        </w:rPr>
        <w:t>)</w:t>
      </w:r>
      <w:r>
        <w:rPr>
          <w:rFonts w:hint="eastAsia" w:ascii="ＭＳ ゴシック" w:hAnsi="ＭＳ ゴシック" w:eastAsia="ＭＳ ゴシック"/>
        </w:rPr>
        <w:t>）</w:t>
      </w:r>
    </w:p>
    <w:tbl>
      <w:tblPr>
        <w:tblStyle w:val="11"/>
        <w:tblW w:w="7082" w:type="dxa"/>
        <w:tblInd w:w="912" w:type="dxa"/>
        <w:tblLayout w:type="fixed"/>
        <w:tblCellMar>
          <w:left w:w="99" w:type="dxa"/>
          <w:right w:w="99" w:type="dxa"/>
        </w:tblCellMar>
        <w:tblLook w:firstRow="0" w:lastRow="0" w:firstColumn="0" w:lastColumn="0" w:noHBand="0" w:noVBand="0" w:val="0000"/>
      </w:tblPr>
      <w:tblGrid>
        <w:gridCol w:w="4328"/>
        <w:gridCol w:w="1377"/>
        <w:gridCol w:w="1377"/>
      </w:tblGrid>
      <w:tr>
        <w:trPr>
          <w:trHeight w:val="529" w:hRule="atLeast"/>
        </w:trPr>
        <w:tc>
          <w:tcPr>
            <w:tcW w:w="4328" w:type="dxa"/>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年　　度</w:t>
            </w:r>
          </w:p>
        </w:tc>
        <w:tc>
          <w:tcPr>
            <w:tcW w:w="1377" w:type="dxa"/>
            <w:tcBorders>
              <w:top w:val="single" w:color="auto" w:sz="4" w:space="0"/>
              <w:left w:val="nil"/>
              <w:bottom w:val="single" w:color="auto" w:sz="4" w:space="0"/>
              <w:right w:val="trip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基準年</w:t>
            </w:r>
          </w:p>
          <w:p>
            <w:pPr>
              <w:pStyle w:val="0"/>
              <w:snapToGrid w:val="0"/>
              <w:spacing w:line="240" w:lineRule="atLeast"/>
              <w:jc w:val="center"/>
              <w:rPr>
                <w:rFonts w:hint="default" w:ascii="ＭＳ Ｐ明朝" w:hAnsi="ＭＳ Ｐ明朝" w:eastAsia="ＭＳ Ｐ明朝"/>
                <w:kern w:val="0"/>
                <w:sz w:val="20"/>
              </w:rPr>
            </w:pPr>
            <w:r>
              <w:rPr>
                <w:rFonts w:hint="default" w:ascii="ＭＳ Ｐ明朝" w:hAnsi="ＭＳ Ｐ明朝" w:eastAsia="ＭＳ Ｐ明朝"/>
                <w:kern w:val="0"/>
                <w:sz w:val="20"/>
              </w:rPr>
              <w:t>2013</w:t>
            </w:r>
            <w:r>
              <w:rPr>
                <w:rFonts w:hint="eastAsia" w:ascii="ＭＳ Ｐ明朝" w:hAnsi="ＭＳ Ｐ明朝" w:eastAsia="ＭＳ Ｐ明朝"/>
                <w:kern w:val="0"/>
                <w:sz w:val="20"/>
              </w:rPr>
              <w:t>年度</w:t>
            </w:r>
          </w:p>
        </w:tc>
        <w:tc>
          <w:tcPr>
            <w:tcW w:w="1377"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現況年</w:t>
            </w:r>
          </w:p>
          <w:p>
            <w:pPr>
              <w:pStyle w:val="0"/>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2018</w:t>
            </w:r>
            <w:r>
              <w:rPr>
                <w:rFonts w:hint="eastAsia" w:ascii="ＭＳ Ｐ明朝" w:hAnsi="ＭＳ Ｐ明朝" w:eastAsia="ＭＳ Ｐ明朝"/>
                <w:kern w:val="0"/>
                <w:sz w:val="20"/>
              </w:rPr>
              <w:t>年度</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温室効果ガス排出量（千</w:t>
            </w:r>
            <w:r>
              <w:rPr>
                <w:rFonts w:hint="eastAsia" w:ascii="ＭＳ Ｐ明朝" w:hAnsi="ＭＳ Ｐ明朝" w:eastAsia="ＭＳ Ｐ明朝"/>
                <w:kern w:val="0"/>
                <w:sz w:val="20"/>
              </w:rPr>
              <w:t>t-CO</w:t>
            </w:r>
            <w:r>
              <w:rPr>
                <w:rFonts w:hint="eastAsia" w:ascii="ＭＳ Ｐ明朝" w:hAnsi="ＭＳ Ｐ明朝" w:eastAsia="ＭＳ Ｐ明朝"/>
                <w:kern w:val="0"/>
                <w:sz w:val="20"/>
                <w:vertAlign w:val="subscript"/>
              </w:rPr>
              <w:t>2</w:t>
            </w:r>
            <w:r>
              <w:rPr>
                <w:rFonts w:hint="eastAsia" w:ascii="ＭＳ Ｐ明朝" w:hAnsi="ＭＳ Ｐ明朝" w:eastAsia="ＭＳ Ｐ明朝"/>
                <w:kern w:val="0"/>
                <w:sz w:val="20"/>
              </w:rPr>
              <w:t>）</w:t>
            </w:r>
          </w:p>
        </w:tc>
        <w:tc>
          <w:tcPr>
            <w:tcW w:w="1377" w:type="dxa"/>
            <w:tcBorders>
              <w:top w:val="single" w:color="auto" w:sz="4" w:space="0"/>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202.2</w:t>
            </w:r>
          </w:p>
        </w:tc>
        <w:tc>
          <w:tcPr>
            <w:tcW w:w="1377" w:type="dxa"/>
            <w:tcBorders>
              <w:top w:val="single" w:color="auto" w:sz="6" w:space="0"/>
              <w:left w:val="triple" w:color="auto" w:sz="4" w:space="0"/>
              <w:bottom w:val="single" w:color="auto" w:sz="6"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251.5</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参考①</w:t>
            </w:r>
            <w:r>
              <w:rPr>
                <w:rFonts w:hint="eastAsia" w:ascii="ＭＳ Ｐ明朝" w:hAnsi="ＭＳ Ｐ明朝" w:eastAsia="ＭＳ Ｐ明朝"/>
                <w:kern w:val="0"/>
                <w:sz w:val="20"/>
              </w:rPr>
              <w:t xml:space="preserve"> </w:t>
            </w:r>
            <w:r>
              <w:rPr>
                <w:rFonts w:hint="eastAsia" w:ascii="ＭＳ Ｐ明朝" w:hAnsi="ＭＳ Ｐ明朝" w:eastAsia="ＭＳ Ｐ明朝"/>
                <w:kern w:val="0"/>
                <w:sz w:val="20"/>
              </w:rPr>
              <w:t>自動車走行量（全体、百万</w:t>
            </w:r>
            <w:r>
              <w:rPr>
                <w:rFonts w:hint="eastAsia" w:ascii="ＭＳ Ｐ明朝" w:hAnsi="ＭＳ Ｐ明朝" w:eastAsia="ＭＳ Ｐ明朝"/>
                <w:kern w:val="0"/>
                <w:sz w:val="20"/>
              </w:rPr>
              <w:t>km</w:t>
            </w:r>
            <w:r>
              <w:rPr>
                <w:rFonts w:hint="eastAsia" w:ascii="ＭＳ Ｐ明朝" w:hAnsi="ＭＳ Ｐ明朝" w:eastAsia="ＭＳ Ｐ明朝"/>
                <w:kern w:val="0"/>
                <w:sz w:val="20"/>
              </w:rPr>
              <w:t>）</w:t>
            </w:r>
          </w:p>
        </w:tc>
        <w:tc>
          <w:tcPr>
            <w:tcW w:w="1377" w:type="dxa"/>
            <w:tcBorders>
              <w:top w:val="nil"/>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688</w:t>
            </w:r>
          </w:p>
        </w:tc>
        <w:tc>
          <w:tcPr>
            <w:tcW w:w="1377" w:type="dxa"/>
            <w:tcBorders>
              <w:top w:val="single" w:color="auto" w:sz="6" w:space="0"/>
              <w:left w:val="triple" w:color="auto" w:sz="4" w:space="0"/>
              <w:bottom w:val="single" w:color="auto" w:sz="6"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866</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参考②</w:t>
            </w:r>
            <w:r>
              <w:rPr>
                <w:rFonts w:hint="eastAsia" w:ascii="ＭＳ Ｐ明朝" w:hAnsi="ＭＳ Ｐ明朝" w:eastAsia="ＭＳ Ｐ明朝"/>
                <w:kern w:val="0"/>
                <w:sz w:val="20"/>
              </w:rPr>
              <w:t xml:space="preserve"> </w:t>
            </w:r>
            <w:r>
              <w:rPr>
                <w:rFonts w:hint="eastAsia" w:ascii="ＭＳ Ｐ明朝" w:hAnsi="ＭＳ Ｐ明朝" w:eastAsia="ＭＳ Ｐ明朝"/>
                <w:kern w:val="0"/>
                <w:sz w:val="20"/>
              </w:rPr>
              <w:t>自動車走行量（貨物系、百万</w:t>
            </w:r>
            <w:r>
              <w:rPr>
                <w:rFonts w:hint="eastAsia" w:ascii="ＭＳ Ｐ明朝" w:hAnsi="ＭＳ Ｐ明朝" w:eastAsia="ＭＳ Ｐ明朝"/>
                <w:kern w:val="0"/>
                <w:sz w:val="20"/>
              </w:rPr>
              <w:t>km</w:t>
            </w:r>
            <w:r>
              <w:rPr>
                <w:rFonts w:hint="eastAsia" w:ascii="ＭＳ Ｐ明朝" w:hAnsi="ＭＳ Ｐ明朝" w:eastAsia="ＭＳ Ｐ明朝"/>
                <w:kern w:val="0"/>
                <w:sz w:val="20"/>
              </w:rPr>
              <w:t>）</w:t>
            </w:r>
          </w:p>
        </w:tc>
        <w:tc>
          <w:tcPr>
            <w:tcW w:w="1377" w:type="dxa"/>
            <w:tcBorders>
              <w:top w:val="nil"/>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207</w:t>
            </w:r>
          </w:p>
        </w:tc>
        <w:tc>
          <w:tcPr>
            <w:tcW w:w="1377"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283</w:t>
            </w:r>
          </w:p>
        </w:tc>
      </w:tr>
    </w:tbl>
    <w:p>
      <w:pPr>
        <w:pStyle w:val="0"/>
        <w:spacing w:line="240" w:lineRule="exact"/>
        <w:ind w:left="1050" w:leftChars="500"/>
        <w:rPr>
          <w:rFonts w:hint="default" w:ascii="ＭＳ Ｐ明朝" w:hAnsi="ＭＳ Ｐ明朝" w:eastAsia="ＭＳ Ｐ明朝"/>
          <w:sz w:val="18"/>
        </w:rPr>
      </w:pPr>
      <w:r>
        <w:rPr>
          <w:rFonts w:hint="eastAsia" w:ascii="ＭＳ Ｐ明朝" w:hAnsi="ＭＳ Ｐ明朝" w:eastAsia="ＭＳ Ｐ明朝"/>
          <w:sz w:val="18"/>
        </w:rPr>
        <w:t>参考出典：①、②全国市区町村</w:t>
      </w:r>
      <w:r>
        <w:rPr>
          <w:rFonts w:hint="eastAsia" w:ascii="ＭＳ Ｐ明朝" w:hAnsi="ＭＳ Ｐ明朝" w:eastAsia="ＭＳ Ｐ明朝"/>
          <w:sz w:val="18"/>
        </w:rPr>
        <w:t>CO</w:t>
      </w:r>
      <w:r>
        <w:rPr>
          <w:rFonts w:hint="eastAsia" w:ascii="ＭＳ Ｐ明朝" w:hAnsi="ＭＳ Ｐ明朝" w:eastAsia="ＭＳ Ｐ明朝"/>
          <w:sz w:val="18"/>
          <w:vertAlign w:val="subscript"/>
        </w:rPr>
        <w:t>2</w:t>
      </w:r>
      <w:r>
        <w:rPr>
          <w:rFonts w:hint="eastAsia" w:ascii="ＭＳ Ｐ明朝" w:hAnsi="ＭＳ Ｐ明朝" w:eastAsia="ＭＳ Ｐ明朝"/>
          <w:sz w:val="18"/>
        </w:rPr>
        <w:t>表示システム（環境省）による推計結果</w:t>
      </w:r>
    </w:p>
    <w:p>
      <w:pPr>
        <w:pStyle w:val="0"/>
        <w:widowControl w:val="1"/>
        <w:jc w:val="left"/>
        <w:rPr>
          <w:rFonts w:hint="default" w:ascii="ＭＳ 明朝" w:hAnsi="ＭＳ 明朝"/>
        </w:rPr>
      </w:pPr>
      <w:r>
        <w:rPr>
          <w:rFonts w:hint="default" w:ascii="ＭＳ 明朝" w:hAnsi="ＭＳ 明朝"/>
        </w:rPr>
        <w:br w:type="page"/>
      </w:r>
    </w:p>
    <w:p>
      <w:pPr>
        <w:pStyle w:val="0"/>
        <w:ind w:left="210" w:leftChars="100" w:firstLine="210" w:firstLineChars="100"/>
        <w:rPr>
          <w:rFonts w:hint="default" w:ascii="ＭＳ 明朝" w:hAnsi="ＭＳ 明朝"/>
        </w:rPr>
      </w:pPr>
      <w:bookmarkStart w:id="2" w:name="_Hlk497926748"/>
      <w:r>
        <w:rPr>
          <w:rFonts w:hint="eastAsia" w:ascii="ＭＳ 明朝" w:hAnsi="ＭＳ 明朝"/>
        </w:rPr>
        <mc:AlternateContent>
          <mc:Choice Requires="wps">
            <w:drawing>
              <wp:anchor distT="0" distB="0" distL="114300" distR="114300" simplePos="0" relativeHeight="69" behindDoc="0" locked="0" layoutInCell="1" hidden="0" allowOverlap="1">
                <wp:simplePos x="0" y="0"/>
                <wp:positionH relativeFrom="column">
                  <wp:posOffset>80645</wp:posOffset>
                </wp:positionH>
                <wp:positionV relativeFrom="paragraph">
                  <wp:posOffset>128270</wp:posOffset>
                </wp:positionV>
                <wp:extent cx="1691640" cy="304800"/>
                <wp:effectExtent l="635" t="635" r="635" b="635"/>
                <wp:wrapNone/>
                <wp:docPr id="1082" name="四角形: 角を丸くする 116"/>
                <a:graphic xmlns:a="http://schemas.openxmlformats.org/drawingml/2006/main">
                  <a:graphicData uri="http://schemas.microsoft.com/office/word/2010/wordprocessingShape">
                    <wps:wsp>
                      <wps:cNvPr id="1082" name="四角形: 角を丸くする 116"/>
                      <wps:cNvSpPr/>
                      <wps:spPr>
                        <a:xfrm>
                          <a:off x="0" y="0"/>
                          <a:ext cx="1691640" cy="304800"/>
                        </a:xfrm>
                        <a:prstGeom prst="roundRect">
                          <a:avLst>
                            <a:gd name="adj" fmla="val 50000"/>
                          </a:avLst>
                        </a:prstGeom>
                        <a:solidFill>
                          <a:srgbClr val="FF8B8B"/>
                        </a:solidFill>
                        <a:ln w="12700" cap="flat" cmpd="sng" algn="ctr">
                          <a:noFill/>
                          <a:prstDash val="solid"/>
                          <a:miter lim="800000"/>
                        </a:ln>
                        <a:effectLst/>
                      </wps:spPr>
                      <wps:txbx>
                        <w:txbxContent>
                          <w:p>
                            <w:pPr>
                              <w:pStyle w:val="26"/>
                              <w:ind w:left="210"/>
                              <w:rPr>
                                <w:rFonts w:hint="default"/>
                              </w:rPr>
                            </w:pPr>
                            <w:r>
                              <w:rPr>
                                <w:rFonts w:hint="eastAsia"/>
                              </w:rPr>
                              <w:t>⑦</w:t>
                            </w:r>
                            <w:r>
                              <w:rPr>
                                <w:rFonts w:hint="eastAsia"/>
                              </w:rPr>
                              <w:t xml:space="preserve"> </w:t>
                            </w:r>
                            <w:r>
                              <w:rPr>
                                <w:rFonts w:hint="default"/>
                              </w:rPr>
                              <w:t>運輸</w:t>
                            </w:r>
                            <w:r>
                              <w:rPr>
                                <w:rFonts w:hint="eastAsia"/>
                              </w:rPr>
                              <w:t>部門（</w:t>
                            </w:r>
                            <w:r>
                              <w:rPr>
                                <w:rFonts w:hint="default"/>
                              </w:rPr>
                              <w:t>鉄道）</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116" style="mso-wrap-distance-right:9pt;mso-wrap-distance-bottom:0pt;margin-top:10.1pt;mso-position-vertical-relative:text;mso-position-horizontal-relative:text;v-text-anchor:middle;position:absolute;height:24pt;mso-wrap-distance-top:0pt;width:133.19pt;mso-wrap-distance-left:9pt;margin-left:6.35pt;z-index:69;" o:spid="_x0000_s1082" o:allowincell="t" o:allowoverlap="t" filled="t" fillcolor="#ff8b8b" stroked="f" strokeweight="1pt" o:spt="2" arcsize="32768f">
                <v:fill/>
                <v:stroke linestyle="single" miterlimit="8" endcap="flat" dashstyle="solid"/>
                <v:textbox style="layout-flow:horizontal;" inset="0mm,0mm,0mm,0mm">
                  <w:txbxContent>
                    <w:p>
                      <w:pPr>
                        <w:pStyle w:val="26"/>
                        <w:ind w:left="210"/>
                        <w:rPr>
                          <w:rFonts w:hint="default"/>
                        </w:rPr>
                      </w:pPr>
                      <w:r>
                        <w:rPr>
                          <w:rFonts w:hint="eastAsia"/>
                        </w:rPr>
                        <w:t>⑦</w:t>
                      </w:r>
                      <w:r>
                        <w:rPr>
                          <w:rFonts w:hint="eastAsia"/>
                        </w:rPr>
                        <w:t xml:space="preserve"> </w:t>
                      </w:r>
                      <w:r>
                        <w:rPr>
                          <w:rFonts w:hint="default"/>
                        </w:rPr>
                        <w:t>運輸</w:t>
                      </w:r>
                      <w:r>
                        <w:rPr>
                          <w:rFonts w:hint="eastAsia"/>
                        </w:rPr>
                        <w:t>部門（</w:t>
                      </w:r>
                      <w:r>
                        <w:rPr>
                          <w:rFonts w:hint="default"/>
                        </w:rPr>
                        <w:t>鉄道）</w:t>
                      </w:r>
                    </w:p>
                  </w:txbxContent>
                </v:textbox>
                <v:imagedata o:title=""/>
                <w10:wrap type="none" anchorx="text" anchory="text"/>
              </v:roundrect>
            </w:pict>
          </mc:Fallback>
        </mc:AlternateContent>
      </w:r>
    </w:p>
    <w:p>
      <w:pPr>
        <w:pStyle w:val="0"/>
        <w:ind w:left="210" w:leftChars="100"/>
        <w:rPr>
          <w:rFonts w:hint="default"/>
          <w:b w:val="1"/>
        </w:rPr>
      </w:pPr>
    </w:p>
    <w:p>
      <w:pPr>
        <w:pStyle w:val="0"/>
        <w:ind w:left="216" w:leftChars="103"/>
        <w:rPr>
          <w:rFonts w:hint="default" w:ascii="ＭＳ 明朝" w:hAnsi="ＭＳ 明朝"/>
        </w:rPr>
      </w:pPr>
      <w:bookmarkEnd w:id="2"/>
      <w:r>
        <w:rPr>
          <w:rFonts w:hint="eastAsia" w:ascii="ＭＳ 明朝" w:hAnsi="ＭＳ 明朝"/>
        </w:rPr>
        <w:t>　</w:t>
      </w:r>
      <w:bookmarkStart w:id="3" w:name="_Hlk497928128"/>
      <w:r>
        <w:rPr>
          <w:rFonts w:hint="eastAsia" w:ascii="ＭＳ 明朝" w:hAnsi="ＭＳ 明朝"/>
        </w:rPr>
        <w:t>　　</w:t>
      </w:r>
      <w:r>
        <w:rPr>
          <w:rFonts w:hint="eastAsia" w:ascii="ＭＳ ゴシック" w:hAnsi="ＭＳ ゴシック" w:eastAsia="ＭＳ ゴシック"/>
        </w:rPr>
        <w:t>部門別の温室効果ガス排出量推計（運輸部門</w:t>
      </w:r>
      <w:r>
        <w:rPr>
          <w:rFonts w:hint="eastAsia" w:ascii="ＭＳ ゴシック" w:hAnsi="ＭＳ ゴシック" w:eastAsia="ＭＳ ゴシック"/>
        </w:rPr>
        <w:t>(</w:t>
      </w:r>
      <w:r>
        <w:rPr>
          <w:rFonts w:hint="eastAsia" w:ascii="ＭＳ ゴシック" w:hAnsi="ＭＳ ゴシック" w:eastAsia="ＭＳ ゴシック"/>
        </w:rPr>
        <w:t>鉄道</w:t>
      </w:r>
      <w:r>
        <w:rPr>
          <w:rFonts w:hint="eastAsia" w:ascii="ＭＳ ゴシック" w:hAnsi="ＭＳ ゴシック" w:eastAsia="ＭＳ ゴシック"/>
        </w:rPr>
        <w:t>)</w:t>
      </w:r>
      <w:r>
        <w:rPr>
          <w:rFonts w:hint="eastAsia" w:ascii="ＭＳ ゴシック" w:hAnsi="ＭＳ ゴシック" w:eastAsia="ＭＳ ゴシック"/>
        </w:rPr>
        <w:t>）</w:t>
      </w:r>
    </w:p>
    <w:tbl>
      <w:tblPr>
        <w:tblStyle w:val="11"/>
        <w:tblW w:w="7082" w:type="dxa"/>
        <w:tblInd w:w="912" w:type="dxa"/>
        <w:tblLayout w:type="fixed"/>
        <w:tblCellMar>
          <w:left w:w="99" w:type="dxa"/>
          <w:right w:w="99" w:type="dxa"/>
        </w:tblCellMar>
        <w:tblLook w:firstRow="0" w:lastRow="0" w:firstColumn="0" w:lastColumn="0" w:noHBand="0" w:noVBand="0" w:val="0000"/>
      </w:tblPr>
      <w:tblGrid>
        <w:gridCol w:w="4328"/>
        <w:gridCol w:w="1377"/>
        <w:gridCol w:w="1377"/>
      </w:tblGrid>
      <w:tr>
        <w:trPr>
          <w:trHeight w:val="529" w:hRule="atLeast"/>
        </w:trPr>
        <w:tc>
          <w:tcPr>
            <w:tcW w:w="4328" w:type="dxa"/>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bookmarkEnd w:id="3"/>
            <w:r>
              <w:rPr>
                <w:rFonts w:hint="eastAsia" w:ascii="ＭＳ Ｐ明朝" w:hAnsi="ＭＳ Ｐ明朝" w:eastAsia="ＭＳ Ｐ明朝"/>
                <w:kern w:val="0"/>
                <w:sz w:val="20"/>
              </w:rPr>
              <w:t>年　　度</w:t>
            </w:r>
          </w:p>
        </w:tc>
        <w:tc>
          <w:tcPr>
            <w:tcW w:w="1377" w:type="dxa"/>
            <w:tcBorders>
              <w:top w:val="single" w:color="auto" w:sz="4" w:space="0"/>
              <w:left w:val="nil"/>
              <w:bottom w:val="single" w:color="auto" w:sz="4" w:space="0"/>
              <w:right w:val="trip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基準年</w:t>
            </w:r>
          </w:p>
          <w:p>
            <w:pPr>
              <w:pStyle w:val="0"/>
              <w:snapToGrid w:val="0"/>
              <w:spacing w:line="240" w:lineRule="atLeast"/>
              <w:jc w:val="center"/>
              <w:rPr>
                <w:rFonts w:hint="default" w:ascii="ＭＳ Ｐ明朝" w:hAnsi="ＭＳ Ｐ明朝" w:eastAsia="ＭＳ Ｐ明朝"/>
                <w:kern w:val="0"/>
                <w:sz w:val="20"/>
              </w:rPr>
            </w:pPr>
            <w:r>
              <w:rPr>
                <w:rFonts w:hint="default" w:ascii="ＭＳ Ｐ明朝" w:hAnsi="ＭＳ Ｐ明朝" w:eastAsia="ＭＳ Ｐ明朝"/>
                <w:kern w:val="0"/>
                <w:sz w:val="20"/>
              </w:rPr>
              <w:t>2013</w:t>
            </w:r>
            <w:r>
              <w:rPr>
                <w:rFonts w:hint="eastAsia" w:ascii="ＭＳ Ｐ明朝" w:hAnsi="ＭＳ Ｐ明朝" w:eastAsia="ＭＳ Ｐ明朝"/>
                <w:kern w:val="0"/>
                <w:sz w:val="20"/>
              </w:rPr>
              <w:t>年度</w:t>
            </w:r>
          </w:p>
        </w:tc>
        <w:tc>
          <w:tcPr>
            <w:tcW w:w="1377"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現況年</w:t>
            </w:r>
          </w:p>
          <w:p>
            <w:pPr>
              <w:pStyle w:val="0"/>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20</w:t>
            </w:r>
            <w:r>
              <w:rPr>
                <w:rFonts w:hint="default" w:ascii="ＭＳ Ｐ明朝" w:hAnsi="ＭＳ Ｐ明朝" w:eastAsia="ＭＳ Ｐ明朝"/>
                <w:kern w:val="0"/>
                <w:sz w:val="20"/>
              </w:rPr>
              <w:t>1</w:t>
            </w:r>
            <w:r>
              <w:rPr>
                <w:rFonts w:hint="eastAsia" w:ascii="ＭＳ Ｐ明朝" w:hAnsi="ＭＳ Ｐ明朝" w:eastAsia="ＭＳ Ｐ明朝"/>
                <w:kern w:val="0"/>
                <w:sz w:val="20"/>
              </w:rPr>
              <w:t>7</w:t>
            </w:r>
            <w:r>
              <w:rPr>
                <w:rFonts w:hint="eastAsia" w:ascii="ＭＳ Ｐ明朝" w:hAnsi="ＭＳ Ｐ明朝" w:eastAsia="ＭＳ Ｐ明朝"/>
                <w:kern w:val="0"/>
                <w:sz w:val="20"/>
              </w:rPr>
              <w:t>年度</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温室効果ガス排出量（千</w:t>
            </w:r>
            <w:r>
              <w:rPr>
                <w:rFonts w:hint="eastAsia" w:ascii="ＭＳ Ｐ明朝" w:hAnsi="ＭＳ Ｐ明朝" w:eastAsia="ＭＳ Ｐ明朝"/>
                <w:kern w:val="0"/>
                <w:sz w:val="20"/>
              </w:rPr>
              <w:t>t-CO</w:t>
            </w:r>
            <w:r>
              <w:rPr>
                <w:rFonts w:hint="eastAsia" w:ascii="ＭＳ Ｐ明朝" w:hAnsi="ＭＳ Ｐ明朝" w:eastAsia="ＭＳ Ｐ明朝"/>
                <w:kern w:val="0"/>
                <w:sz w:val="20"/>
                <w:vertAlign w:val="subscript"/>
              </w:rPr>
              <w:t>2</w:t>
            </w:r>
            <w:r>
              <w:rPr>
                <w:rFonts w:hint="eastAsia" w:ascii="ＭＳ Ｐ明朝" w:hAnsi="ＭＳ Ｐ明朝" w:eastAsia="ＭＳ Ｐ明朝"/>
                <w:kern w:val="0"/>
                <w:sz w:val="20"/>
              </w:rPr>
              <w:t>）</w:t>
            </w:r>
          </w:p>
        </w:tc>
        <w:tc>
          <w:tcPr>
            <w:tcW w:w="1377" w:type="dxa"/>
            <w:tcBorders>
              <w:top w:val="single" w:color="auto" w:sz="4" w:space="0"/>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default" w:ascii="ＭＳ Ｐ明朝" w:hAnsi="ＭＳ Ｐ明朝" w:eastAsia="ＭＳ Ｐ明朝"/>
                <w:kern w:val="0"/>
                <w:sz w:val="20"/>
              </w:rPr>
              <w:t>4.6</w:t>
            </w:r>
          </w:p>
        </w:tc>
        <w:tc>
          <w:tcPr>
            <w:tcW w:w="1377" w:type="dxa"/>
            <w:tcBorders>
              <w:top w:val="single" w:color="auto" w:sz="6" w:space="0"/>
              <w:left w:val="triple" w:color="auto" w:sz="4" w:space="0"/>
              <w:bottom w:val="single" w:color="auto" w:sz="6"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default" w:ascii="ＭＳ Ｐ明朝" w:hAnsi="ＭＳ Ｐ明朝" w:eastAsia="ＭＳ Ｐ明朝"/>
                <w:kern w:val="0"/>
                <w:sz w:val="20"/>
              </w:rPr>
              <w:t>4.</w:t>
            </w:r>
            <w:r>
              <w:rPr>
                <w:rFonts w:hint="eastAsia" w:ascii="ＭＳ Ｐ明朝" w:hAnsi="ＭＳ Ｐ明朝" w:eastAsia="ＭＳ Ｐ明朝"/>
                <w:kern w:val="0"/>
                <w:sz w:val="20"/>
              </w:rPr>
              <w:t>8</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参考</w:t>
            </w:r>
            <w:r>
              <w:rPr>
                <w:rFonts w:hint="eastAsia" w:ascii="ＭＳ Ｐ明朝" w:hAnsi="ＭＳ Ｐ明朝" w:eastAsia="ＭＳ Ｐ明朝"/>
                <w:kern w:val="0"/>
                <w:sz w:val="20"/>
              </w:rPr>
              <w:t xml:space="preserve"> </w:t>
            </w:r>
            <w:r>
              <w:rPr>
                <w:rFonts w:hint="eastAsia" w:ascii="ＭＳ Ｐ明朝" w:hAnsi="ＭＳ Ｐ明朝" w:eastAsia="ＭＳ Ｐ明朝"/>
                <w:kern w:val="0"/>
                <w:sz w:val="20"/>
              </w:rPr>
              <w:t>運転用燃料</w:t>
            </w:r>
            <w:r>
              <w:rPr>
                <w:rFonts w:hint="eastAsia" w:ascii="ＭＳ Ｐ明朝" w:hAnsi="ＭＳ Ｐ明朝" w:eastAsia="ＭＳ Ｐ明朝"/>
                <w:kern w:val="0"/>
                <w:sz w:val="20"/>
              </w:rPr>
              <w:t>(</w:t>
            </w:r>
            <w:r>
              <w:rPr>
                <w:rFonts w:hint="eastAsia" w:ascii="ＭＳ Ｐ明朝" w:hAnsi="ＭＳ Ｐ明朝" w:eastAsia="ＭＳ Ｐ明朝"/>
                <w:kern w:val="0"/>
                <w:sz w:val="20"/>
              </w:rPr>
              <w:t>軽油</w:t>
            </w:r>
            <w:r>
              <w:rPr>
                <w:rFonts w:hint="eastAsia" w:ascii="ＭＳ Ｐ明朝" w:hAnsi="ＭＳ Ｐ明朝" w:eastAsia="ＭＳ Ｐ明朝"/>
                <w:kern w:val="0"/>
                <w:sz w:val="20"/>
              </w:rPr>
              <w:t>)</w:t>
            </w:r>
            <w:r>
              <w:rPr>
                <w:rFonts w:hint="eastAsia" w:ascii="ＭＳ Ｐ明朝" w:hAnsi="ＭＳ Ｐ明朝" w:eastAsia="ＭＳ Ｐ明朝"/>
                <w:kern w:val="0"/>
                <w:sz w:val="20"/>
              </w:rPr>
              <w:t>使用量（</w:t>
            </w:r>
            <w:r>
              <w:rPr>
                <w:rFonts w:hint="eastAsia" w:ascii="ＭＳ Ｐ明朝" w:hAnsi="ＭＳ Ｐ明朝" w:eastAsia="ＭＳ Ｐ明朝"/>
                <w:kern w:val="0"/>
                <w:sz w:val="20"/>
              </w:rPr>
              <w:t>kL</w:t>
            </w:r>
            <w:r>
              <w:rPr>
                <w:rFonts w:hint="eastAsia" w:ascii="ＭＳ Ｐ明朝" w:hAnsi="ＭＳ Ｐ明朝" w:eastAsia="ＭＳ Ｐ明朝"/>
                <w:kern w:val="0"/>
                <w:sz w:val="20"/>
              </w:rPr>
              <w:t>）</w:t>
            </w:r>
          </w:p>
        </w:tc>
        <w:tc>
          <w:tcPr>
            <w:tcW w:w="1377" w:type="dxa"/>
            <w:tcBorders>
              <w:top w:val="nil"/>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909.8</w:t>
            </w:r>
          </w:p>
        </w:tc>
        <w:tc>
          <w:tcPr>
            <w:tcW w:w="1377"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1,000</w:t>
            </w:r>
          </w:p>
        </w:tc>
      </w:tr>
    </w:tbl>
    <w:p>
      <w:pPr>
        <w:pStyle w:val="0"/>
        <w:spacing w:line="240" w:lineRule="exact"/>
        <w:ind w:left="1050" w:leftChars="500"/>
        <w:rPr>
          <w:rFonts w:hint="default" w:ascii="ＭＳ Ｐ明朝" w:hAnsi="ＭＳ Ｐ明朝" w:eastAsia="ＭＳ Ｐ明朝"/>
          <w:sz w:val="18"/>
        </w:rPr>
      </w:pPr>
      <w:r>
        <w:rPr>
          <w:rFonts w:hint="eastAsia" w:ascii="ＭＳ Ｐ明朝" w:hAnsi="ＭＳ Ｐ明朝" w:eastAsia="ＭＳ Ｐ明朝"/>
          <w:sz w:val="18"/>
        </w:rPr>
        <w:t>参考出典：鉄道事業年報（国土交通省</w:t>
      </w:r>
      <w:r>
        <w:rPr>
          <w:rFonts w:hint="eastAsia" w:ascii="ＭＳ Ｐ明朝" w:hAnsi="ＭＳ Ｐ明朝" w:eastAsia="ＭＳ Ｐ明朝"/>
          <w:sz w:val="18"/>
        </w:rPr>
        <w:t xml:space="preserve"> </w:t>
      </w:r>
      <w:r>
        <w:rPr>
          <w:rFonts w:hint="eastAsia" w:ascii="ＭＳ Ｐ明朝" w:hAnsi="ＭＳ Ｐ明朝" w:eastAsia="ＭＳ Ｐ明朝"/>
          <w:sz w:val="18"/>
        </w:rPr>
        <w:t>鉄道局）をもとに推計</w:t>
      </w:r>
    </w:p>
    <w:p>
      <w:pPr>
        <w:pStyle w:val="0"/>
        <w:ind w:left="420" w:leftChars="200"/>
        <w:rPr>
          <w:rFonts w:hint="default" w:ascii="ＭＳ 明朝" w:hAnsi="ＭＳ 明朝"/>
        </w:rPr>
      </w:pPr>
    </w:p>
    <w:p>
      <w:pPr>
        <w:pStyle w:val="0"/>
        <w:ind w:left="210" w:leftChars="100" w:firstLine="210" w:firstLineChars="100"/>
        <w:rPr>
          <w:rFonts w:hint="default" w:ascii="ＭＳ 明朝" w:hAnsi="ＭＳ 明朝"/>
        </w:rPr>
      </w:pPr>
      <w:r>
        <w:rPr>
          <w:rFonts w:hint="eastAsia" w:ascii="ＭＳ 明朝" w:hAnsi="ＭＳ 明朝"/>
        </w:rPr>
        <mc:AlternateContent>
          <mc:Choice Requires="wps">
            <w:drawing>
              <wp:anchor distT="0" distB="0" distL="114300" distR="114300" simplePos="0" relativeHeight="70" behindDoc="0" locked="0" layoutInCell="1" hidden="0" allowOverlap="1">
                <wp:simplePos x="0" y="0"/>
                <wp:positionH relativeFrom="column">
                  <wp:posOffset>80645</wp:posOffset>
                </wp:positionH>
                <wp:positionV relativeFrom="paragraph">
                  <wp:posOffset>132080</wp:posOffset>
                </wp:positionV>
                <wp:extent cx="3419475" cy="304800"/>
                <wp:effectExtent l="635" t="635" r="635" b="635"/>
                <wp:wrapNone/>
                <wp:docPr id="1083" name="四角形: 角を丸くする 117"/>
                <a:graphic xmlns:a="http://schemas.openxmlformats.org/drawingml/2006/main">
                  <a:graphicData uri="http://schemas.microsoft.com/office/word/2010/wordprocessingShape">
                    <wps:wsp>
                      <wps:cNvPr id="1083" name="四角形: 角を丸くする 117"/>
                      <wps:cNvSpPr/>
                      <wps:spPr>
                        <a:xfrm>
                          <a:off x="0" y="0"/>
                          <a:ext cx="3419475" cy="304800"/>
                        </a:xfrm>
                        <a:prstGeom prst="roundRect">
                          <a:avLst>
                            <a:gd name="adj" fmla="val 50000"/>
                          </a:avLst>
                        </a:prstGeom>
                        <a:solidFill>
                          <a:srgbClr val="FF8B8B"/>
                        </a:solidFill>
                        <a:ln w="12700" cap="flat" cmpd="sng" algn="ctr">
                          <a:noFill/>
                          <a:prstDash val="solid"/>
                          <a:miter lim="800000"/>
                        </a:ln>
                        <a:effectLst/>
                      </wps:spPr>
                      <wps:txbx>
                        <w:txbxContent>
                          <w:p>
                            <w:pPr>
                              <w:pStyle w:val="26"/>
                              <w:ind w:left="210"/>
                              <w:rPr>
                                <w:rFonts w:hint="default"/>
                              </w:rPr>
                            </w:pPr>
                            <w:r>
                              <w:rPr>
                                <w:rFonts w:hint="eastAsia"/>
                              </w:rPr>
                              <w:t>⑧</w:t>
                            </w:r>
                            <w:r>
                              <w:rPr>
                                <w:rFonts w:hint="eastAsia"/>
                              </w:rPr>
                              <w:t xml:space="preserve"> </w:t>
                            </w:r>
                            <w:r>
                              <w:rPr>
                                <w:rFonts w:hint="default"/>
                              </w:rPr>
                              <w:t>農業分野</w:t>
                            </w:r>
                            <w:r>
                              <w:rPr>
                                <w:rFonts w:hint="eastAsia"/>
                              </w:rPr>
                              <w:t>（エネルギー消費によるもの以外</w:t>
                            </w:r>
                            <w:r>
                              <w:rPr>
                                <w:rFonts w:hint="default"/>
                              </w:rPr>
                              <w:t>）</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117" style="mso-wrap-distance-right:9pt;mso-wrap-distance-bottom:0pt;margin-top:10.4pt;mso-position-vertical-relative:text;mso-position-horizontal-relative:text;v-text-anchor:middle;position:absolute;height:24pt;mso-wrap-distance-top:0pt;width:269.25pt;mso-wrap-distance-left:9pt;margin-left:6.35pt;z-index:70;" o:spid="_x0000_s1083" o:allowincell="t" o:allowoverlap="t" filled="t" fillcolor="#ff8b8b" stroked="f" strokeweight="1pt" o:spt="2" arcsize="32768f">
                <v:fill/>
                <v:stroke linestyle="single" miterlimit="8" endcap="flat" dashstyle="solid"/>
                <v:textbox style="layout-flow:horizontal;" inset="0mm,0mm,0mm,0mm">
                  <w:txbxContent>
                    <w:p>
                      <w:pPr>
                        <w:pStyle w:val="26"/>
                        <w:ind w:left="210"/>
                        <w:rPr>
                          <w:rFonts w:hint="default"/>
                        </w:rPr>
                      </w:pPr>
                      <w:r>
                        <w:rPr>
                          <w:rFonts w:hint="eastAsia"/>
                        </w:rPr>
                        <w:t>⑧</w:t>
                      </w:r>
                      <w:r>
                        <w:rPr>
                          <w:rFonts w:hint="eastAsia"/>
                        </w:rPr>
                        <w:t xml:space="preserve"> </w:t>
                      </w:r>
                      <w:r>
                        <w:rPr>
                          <w:rFonts w:hint="default"/>
                        </w:rPr>
                        <w:t>農業分野</w:t>
                      </w:r>
                      <w:r>
                        <w:rPr>
                          <w:rFonts w:hint="eastAsia"/>
                        </w:rPr>
                        <w:t>（エネルギー消費によるもの以外</w:t>
                      </w:r>
                      <w:r>
                        <w:rPr>
                          <w:rFonts w:hint="default"/>
                        </w:rPr>
                        <w:t>）</w:t>
                      </w:r>
                    </w:p>
                  </w:txbxContent>
                </v:textbox>
                <v:imagedata o:title=""/>
                <w10:wrap type="none" anchorx="text" anchory="text"/>
              </v:roundrect>
            </w:pict>
          </mc:Fallback>
        </mc:AlternateContent>
      </w:r>
    </w:p>
    <w:p>
      <w:pPr>
        <w:pStyle w:val="0"/>
        <w:ind w:left="210" w:leftChars="100"/>
        <w:rPr>
          <w:rFonts w:hint="default"/>
          <w:b w:val="1"/>
        </w:rPr>
      </w:pPr>
    </w:p>
    <w:p>
      <w:pPr>
        <w:pStyle w:val="0"/>
        <w:spacing w:before="180" w:beforeLines="50" w:beforeAutospacing="0" w:line="360" w:lineRule="exact"/>
        <w:ind w:left="630" w:leftChars="300" w:firstLine="210" w:firstLineChars="100"/>
        <w:rPr>
          <w:rFonts w:hint="default" w:ascii="ＭＳ 明朝" w:hAnsi="ＭＳ 明朝"/>
        </w:rPr>
      </w:pPr>
      <w:r>
        <w:rPr>
          <w:rFonts w:hint="eastAsia" w:ascii="ＭＳ ゴシック" w:hAnsi="ＭＳ ゴシック" w:eastAsia="ＭＳ ゴシック"/>
        </w:rPr>
        <w:t>部門別の温室効果ガス排出量推計（農業分野）</w:t>
      </w:r>
    </w:p>
    <w:tbl>
      <w:tblPr>
        <w:tblStyle w:val="11"/>
        <w:tblW w:w="7082" w:type="dxa"/>
        <w:tblInd w:w="912" w:type="dxa"/>
        <w:tblLayout w:type="fixed"/>
        <w:tblCellMar>
          <w:left w:w="99" w:type="dxa"/>
          <w:right w:w="99" w:type="dxa"/>
        </w:tblCellMar>
        <w:tblLook w:firstRow="0" w:lastRow="0" w:firstColumn="0" w:lastColumn="0" w:noHBand="0" w:noVBand="0" w:val="0000"/>
      </w:tblPr>
      <w:tblGrid>
        <w:gridCol w:w="4328"/>
        <w:gridCol w:w="1377"/>
        <w:gridCol w:w="1377"/>
      </w:tblGrid>
      <w:tr>
        <w:trPr>
          <w:trHeight w:val="529" w:hRule="atLeast"/>
        </w:trPr>
        <w:tc>
          <w:tcPr>
            <w:tcW w:w="4328" w:type="dxa"/>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年　　度</w:t>
            </w:r>
          </w:p>
        </w:tc>
        <w:tc>
          <w:tcPr>
            <w:tcW w:w="1377" w:type="dxa"/>
            <w:tcBorders>
              <w:top w:val="single" w:color="auto" w:sz="4" w:space="0"/>
              <w:left w:val="nil"/>
              <w:bottom w:val="single" w:color="auto" w:sz="4" w:space="0"/>
              <w:right w:val="trip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基準年</w:t>
            </w:r>
          </w:p>
          <w:p>
            <w:pPr>
              <w:pStyle w:val="0"/>
              <w:snapToGrid w:val="0"/>
              <w:spacing w:line="240" w:lineRule="atLeast"/>
              <w:jc w:val="center"/>
              <w:rPr>
                <w:rFonts w:hint="default" w:ascii="ＭＳ Ｐ明朝" w:hAnsi="ＭＳ Ｐ明朝" w:eastAsia="ＭＳ Ｐ明朝"/>
                <w:kern w:val="0"/>
                <w:sz w:val="20"/>
              </w:rPr>
            </w:pPr>
            <w:r>
              <w:rPr>
                <w:rFonts w:hint="default" w:ascii="ＭＳ Ｐ明朝" w:hAnsi="ＭＳ Ｐ明朝" w:eastAsia="ＭＳ Ｐ明朝"/>
                <w:kern w:val="0"/>
                <w:sz w:val="20"/>
              </w:rPr>
              <w:t>2013</w:t>
            </w:r>
            <w:r>
              <w:rPr>
                <w:rFonts w:hint="eastAsia" w:ascii="ＭＳ Ｐ明朝" w:hAnsi="ＭＳ Ｐ明朝" w:eastAsia="ＭＳ Ｐ明朝"/>
                <w:kern w:val="0"/>
                <w:sz w:val="20"/>
              </w:rPr>
              <w:t>年度</w:t>
            </w:r>
          </w:p>
        </w:tc>
        <w:tc>
          <w:tcPr>
            <w:tcW w:w="1377"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現況年</w:t>
            </w:r>
          </w:p>
          <w:p>
            <w:pPr>
              <w:pStyle w:val="0"/>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20</w:t>
            </w:r>
            <w:r>
              <w:rPr>
                <w:rFonts w:hint="default" w:ascii="ＭＳ Ｐ明朝" w:hAnsi="ＭＳ Ｐ明朝" w:eastAsia="ＭＳ Ｐ明朝"/>
                <w:kern w:val="0"/>
                <w:sz w:val="20"/>
              </w:rPr>
              <w:t>1</w:t>
            </w:r>
            <w:r>
              <w:rPr>
                <w:rFonts w:hint="eastAsia" w:ascii="ＭＳ Ｐ明朝" w:hAnsi="ＭＳ Ｐ明朝" w:eastAsia="ＭＳ Ｐ明朝"/>
                <w:kern w:val="0"/>
                <w:sz w:val="20"/>
              </w:rPr>
              <w:t>7</w:t>
            </w:r>
            <w:r>
              <w:rPr>
                <w:rFonts w:hint="eastAsia" w:ascii="ＭＳ Ｐ明朝" w:hAnsi="ＭＳ Ｐ明朝" w:eastAsia="ＭＳ Ｐ明朝"/>
                <w:kern w:val="0"/>
                <w:sz w:val="20"/>
              </w:rPr>
              <w:t>年度</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温室効果ガス排出量（千</w:t>
            </w:r>
            <w:r>
              <w:rPr>
                <w:rFonts w:hint="eastAsia" w:ascii="ＭＳ Ｐ明朝" w:hAnsi="ＭＳ Ｐ明朝" w:eastAsia="ＭＳ Ｐ明朝"/>
                <w:kern w:val="0"/>
                <w:sz w:val="20"/>
              </w:rPr>
              <w:t>t-CO</w:t>
            </w:r>
            <w:r>
              <w:rPr>
                <w:rFonts w:hint="eastAsia" w:ascii="ＭＳ Ｐ明朝" w:hAnsi="ＭＳ Ｐ明朝" w:eastAsia="ＭＳ Ｐ明朝"/>
                <w:kern w:val="0"/>
                <w:sz w:val="20"/>
                <w:vertAlign w:val="subscript"/>
              </w:rPr>
              <w:t>2</w:t>
            </w:r>
            <w:r>
              <w:rPr>
                <w:rFonts w:hint="eastAsia" w:ascii="ＭＳ Ｐ明朝" w:hAnsi="ＭＳ Ｐ明朝" w:eastAsia="ＭＳ Ｐ明朝"/>
                <w:kern w:val="0"/>
                <w:sz w:val="20"/>
              </w:rPr>
              <w:t>）</w:t>
            </w:r>
          </w:p>
        </w:tc>
        <w:tc>
          <w:tcPr>
            <w:tcW w:w="1377" w:type="dxa"/>
            <w:tcBorders>
              <w:top w:val="single" w:color="auto" w:sz="4" w:space="0"/>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2</w:t>
            </w:r>
            <w:r>
              <w:rPr>
                <w:rFonts w:hint="default" w:ascii="ＭＳ Ｐ明朝" w:hAnsi="ＭＳ Ｐ明朝" w:eastAsia="ＭＳ Ｐ明朝"/>
                <w:kern w:val="0"/>
                <w:sz w:val="20"/>
              </w:rPr>
              <w:t>5</w:t>
            </w:r>
            <w:r>
              <w:rPr>
                <w:rFonts w:hint="eastAsia" w:ascii="ＭＳ Ｐ明朝" w:hAnsi="ＭＳ Ｐ明朝" w:eastAsia="ＭＳ Ｐ明朝"/>
                <w:kern w:val="0"/>
                <w:sz w:val="20"/>
              </w:rPr>
              <w:t>.</w:t>
            </w:r>
            <w:r>
              <w:rPr>
                <w:rFonts w:hint="default" w:ascii="ＭＳ Ｐ明朝" w:hAnsi="ＭＳ Ｐ明朝" w:eastAsia="ＭＳ Ｐ明朝"/>
                <w:kern w:val="0"/>
                <w:sz w:val="20"/>
              </w:rPr>
              <w:t>8</w:t>
            </w:r>
          </w:p>
        </w:tc>
        <w:tc>
          <w:tcPr>
            <w:tcW w:w="1377" w:type="dxa"/>
            <w:tcBorders>
              <w:top w:val="single" w:color="auto" w:sz="6" w:space="0"/>
              <w:left w:val="triple" w:color="auto" w:sz="4" w:space="0"/>
              <w:bottom w:val="single" w:color="auto" w:sz="6"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16.9</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参考①</w:t>
            </w:r>
            <w:r>
              <w:rPr>
                <w:rFonts w:hint="eastAsia" w:ascii="ＭＳ Ｐ明朝" w:hAnsi="ＭＳ Ｐ明朝" w:eastAsia="ＭＳ Ｐ明朝"/>
                <w:kern w:val="0"/>
                <w:sz w:val="20"/>
              </w:rPr>
              <w:t xml:space="preserve"> </w:t>
            </w:r>
            <w:r>
              <w:rPr>
                <w:rFonts w:hint="eastAsia" w:ascii="ＭＳ Ｐ明朝" w:hAnsi="ＭＳ Ｐ明朝" w:eastAsia="ＭＳ Ｐ明朝"/>
                <w:kern w:val="0"/>
                <w:sz w:val="20"/>
              </w:rPr>
              <w:t>水田の作付面積（</w:t>
            </w:r>
            <w:r>
              <w:rPr>
                <w:rFonts w:hint="eastAsia" w:ascii="ＭＳ Ｐ明朝" w:hAnsi="ＭＳ Ｐ明朝" w:eastAsia="ＭＳ Ｐ明朝"/>
                <w:kern w:val="0"/>
                <w:sz w:val="20"/>
              </w:rPr>
              <w:t>ha</w:t>
            </w:r>
            <w:r>
              <w:rPr>
                <w:rFonts w:hint="eastAsia" w:ascii="ＭＳ Ｐ明朝" w:hAnsi="ＭＳ Ｐ明朝" w:eastAsia="ＭＳ Ｐ明朝"/>
                <w:kern w:val="0"/>
                <w:sz w:val="20"/>
              </w:rPr>
              <w:t>）</w:t>
            </w:r>
          </w:p>
        </w:tc>
        <w:tc>
          <w:tcPr>
            <w:tcW w:w="1377" w:type="dxa"/>
            <w:tcBorders>
              <w:top w:val="nil"/>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default" w:ascii="ＭＳ Ｐ明朝" w:hAnsi="ＭＳ Ｐ明朝" w:eastAsia="ＭＳ Ｐ明朝"/>
                <w:kern w:val="0"/>
                <w:sz w:val="20"/>
              </w:rPr>
              <w:t>2,799</w:t>
            </w:r>
          </w:p>
        </w:tc>
        <w:tc>
          <w:tcPr>
            <w:tcW w:w="1377" w:type="dxa"/>
            <w:tcBorders>
              <w:top w:val="single" w:color="auto" w:sz="6" w:space="0"/>
              <w:left w:val="triple" w:color="auto" w:sz="4" w:space="0"/>
              <w:bottom w:val="single" w:color="auto" w:sz="6"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2,455</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参考②</w:t>
            </w:r>
            <w:r>
              <w:rPr>
                <w:rFonts w:hint="eastAsia" w:ascii="ＭＳ Ｐ明朝" w:hAnsi="ＭＳ Ｐ明朝" w:eastAsia="ＭＳ Ｐ明朝"/>
                <w:kern w:val="0"/>
                <w:sz w:val="20"/>
              </w:rPr>
              <w:t xml:space="preserve"> </w:t>
            </w:r>
            <w:r>
              <w:rPr>
                <w:rFonts w:hint="eastAsia" w:ascii="ＭＳ Ｐ明朝" w:hAnsi="ＭＳ Ｐ明朝" w:eastAsia="ＭＳ Ｐ明朝"/>
                <w:kern w:val="0"/>
                <w:sz w:val="20"/>
              </w:rPr>
              <w:t>家畜飼養（乳用牛＋肉用牛、頭）</w:t>
            </w:r>
          </w:p>
        </w:tc>
        <w:tc>
          <w:tcPr>
            <w:tcW w:w="1377" w:type="dxa"/>
            <w:tcBorders>
              <w:top w:val="nil"/>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default" w:ascii="ＭＳ Ｐ明朝" w:hAnsi="ＭＳ Ｐ明朝" w:eastAsia="ＭＳ Ｐ明朝"/>
                <w:kern w:val="0"/>
                <w:sz w:val="20"/>
              </w:rPr>
              <w:t>3,979</w:t>
            </w:r>
          </w:p>
        </w:tc>
        <w:tc>
          <w:tcPr>
            <w:tcW w:w="1377" w:type="dxa"/>
            <w:tcBorders>
              <w:top w:val="single" w:color="auto" w:sz="6" w:space="0"/>
              <w:left w:val="triple" w:color="auto" w:sz="4" w:space="0"/>
              <w:bottom w:val="single" w:color="auto" w:sz="6"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1,159</w:t>
            </w:r>
          </w:p>
        </w:tc>
      </w:tr>
      <w:tr>
        <w:trPr>
          <w:trHeight w:val="285" w:hRule="atLeast"/>
        </w:trPr>
        <w:tc>
          <w:tcPr>
            <w:tcW w:w="432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参考③</w:t>
            </w:r>
            <w:r>
              <w:rPr>
                <w:rFonts w:hint="eastAsia" w:ascii="ＭＳ Ｐ明朝" w:hAnsi="ＭＳ Ｐ明朝" w:eastAsia="ＭＳ Ｐ明朝"/>
                <w:kern w:val="0"/>
                <w:sz w:val="20"/>
              </w:rPr>
              <w:t xml:space="preserve"> </w:t>
            </w:r>
            <w:r>
              <w:rPr>
                <w:rFonts w:hint="eastAsia" w:ascii="ＭＳ Ｐ明朝" w:hAnsi="ＭＳ Ｐ明朝" w:eastAsia="ＭＳ Ｐ明朝"/>
                <w:kern w:val="0"/>
                <w:sz w:val="20"/>
              </w:rPr>
              <w:t>家畜飼養（採卵鶏、羽）</w:t>
            </w:r>
          </w:p>
        </w:tc>
        <w:tc>
          <w:tcPr>
            <w:tcW w:w="1377" w:type="dxa"/>
            <w:tcBorders>
              <w:top w:val="single" w:color="auto" w:sz="4" w:space="0"/>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default" w:ascii="ＭＳ Ｐ明朝" w:hAnsi="ＭＳ Ｐ明朝" w:eastAsia="ＭＳ Ｐ明朝"/>
                <w:kern w:val="0"/>
                <w:sz w:val="20"/>
              </w:rPr>
              <w:t>59,300</w:t>
            </w:r>
          </w:p>
        </w:tc>
        <w:tc>
          <w:tcPr>
            <w:tcW w:w="1377"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5,077</w:t>
            </w:r>
          </w:p>
        </w:tc>
      </w:tr>
    </w:tbl>
    <w:p>
      <w:pPr>
        <w:pStyle w:val="0"/>
        <w:spacing w:line="240" w:lineRule="exact"/>
        <w:ind w:left="1050" w:leftChars="500"/>
        <w:rPr>
          <w:rFonts w:hint="default" w:ascii="ＭＳ Ｐ明朝" w:hAnsi="ＭＳ Ｐ明朝" w:eastAsia="ＭＳ Ｐ明朝"/>
          <w:sz w:val="18"/>
        </w:rPr>
      </w:pPr>
      <w:r>
        <w:rPr>
          <w:rFonts w:hint="eastAsia" w:ascii="ＭＳ Ｐ明朝" w:hAnsi="ＭＳ Ｐ明朝" w:eastAsia="ＭＳ Ｐ明朝"/>
          <w:sz w:val="18"/>
        </w:rPr>
        <w:t>参考出典：①、②、③津山市統計書（資料：津山市農業再生協議会、農林業センサス）</w:t>
      </w:r>
    </w:p>
    <w:p>
      <w:pPr>
        <w:pStyle w:val="0"/>
        <w:ind w:left="420" w:leftChars="200"/>
        <w:rPr>
          <w:rFonts w:hint="default" w:ascii="ＭＳ 明朝" w:hAnsi="ＭＳ 明朝"/>
        </w:rPr>
      </w:pPr>
    </w:p>
    <w:p>
      <w:pPr>
        <w:pStyle w:val="0"/>
        <w:ind w:left="210" w:leftChars="100" w:firstLine="210" w:firstLineChars="100"/>
        <w:rPr>
          <w:rFonts w:hint="default" w:ascii="ＭＳ 明朝" w:hAnsi="ＭＳ 明朝"/>
        </w:rPr>
      </w:pPr>
      <w:r>
        <w:rPr>
          <w:rFonts w:hint="eastAsia" w:ascii="ＭＳ 明朝" w:hAnsi="ＭＳ 明朝"/>
        </w:rPr>
        <mc:AlternateContent>
          <mc:Choice Requires="wps">
            <w:drawing>
              <wp:anchor distT="0" distB="0" distL="114300" distR="114300" simplePos="0" relativeHeight="71" behindDoc="0" locked="0" layoutInCell="1" hidden="0" allowOverlap="1">
                <wp:simplePos x="0" y="0"/>
                <wp:positionH relativeFrom="column">
                  <wp:posOffset>80645</wp:posOffset>
                </wp:positionH>
                <wp:positionV relativeFrom="paragraph">
                  <wp:posOffset>133350</wp:posOffset>
                </wp:positionV>
                <wp:extent cx="1367790" cy="304800"/>
                <wp:effectExtent l="635" t="635" r="635" b="635"/>
                <wp:wrapNone/>
                <wp:docPr id="1084" name="四角形: 角を丸くする 118"/>
                <a:graphic xmlns:a="http://schemas.openxmlformats.org/drawingml/2006/main">
                  <a:graphicData uri="http://schemas.microsoft.com/office/word/2010/wordprocessingShape">
                    <wps:wsp>
                      <wps:cNvPr id="1084" name="四角形: 角を丸くする 118"/>
                      <wps:cNvSpPr/>
                      <wps:spPr>
                        <a:xfrm>
                          <a:off x="0" y="0"/>
                          <a:ext cx="1367790" cy="304800"/>
                        </a:xfrm>
                        <a:prstGeom prst="roundRect">
                          <a:avLst>
                            <a:gd name="adj" fmla="val 50000"/>
                          </a:avLst>
                        </a:prstGeom>
                        <a:solidFill>
                          <a:srgbClr val="FF8B8B"/>
                        </a:solidFill>
                        <a:ln w="12700" cap="flat" cmpd="sng" algn="ctr">
                          <a:noFill/>
                          <a:prstDash val="solid"/>
                          <a:miter lim="800000"/>
                        </a:ln>
                        <a:effectLst/>
                      </wps:spPr>
                      <wps:txbx>
                        <w:txbxContent>
                          <w:p>
                            <w:pPr>
                              <w:pStyle w:val="26"/>
                              <w:ind w:left="210"/>
                              <w:rPr>
                                <w:rFonts w:hint="default"/>
                              </w:rPr>
                            </w:pPr>
                            <w:r>
                              <w:rPr>
                                <w:rFonts w:hint="eastAsia"/>
                              </w:rPr>
                              <w:t>⑨</w:t>
                            </w:r>
                            <w:r>
                              <w:rPr>
                                <w:rFonts w:hint="eastAsia"/>
                              </w:rPr>
                              <w:t xml:space="preserve"> </w:t>
                            </w:r>
                            <w:r>
                              <w:rPr>
                                <w:rFonts w:hint="eastAsia"/>
                              </w:rPr>
                              <w:t>廃棄物</w:t>
                            </w:r>
                            <w:r>
                              <w:rPr>
                                <w:rFonts w:hint="default"/>
                              </w:rPr>
                              <w:t>分野</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118" style="mso-wrap-distance-right:9pt;mso-wrap-distance-bottom:0pt;margin-top:10.5pt;mso-position-vertical-relative:text;mso-position-horizontal-relative:text;v-text-anchor:middle;position:absolute;height:24pt;mso-wrap-distance-top:0pt;width:107.7pt;mso-wrap-distance-left:9pt;margin-left:6.35pt;z-index:71;" o:spid="_x0000_s1084" o:allowincell="t" o:allowoverlap="t" filled="t" fillcolor="#ff8b8b" stroked="f" strokeweight="1pt" o:spt="2" arcsize="32768f">
                <v:fill/>
                <v:stroke linestyle="single" miterlimit="8" endcap="flat" dashstyle="solid"/>
                <v:textbox style="layout-flow:horizontal;" inset="0mm,0mm,0mm,0mm">
                  <w:txbxContent>
                    <w:p>
                      <w:pPr>
                        <w:pStyle w:val="26"/>
                        <w:ind w:left="210"/>
                        <w:rPr>
                          <w:rFonts w:hint="default"/>
                        </w:rPr>
                      </w:pPr>
                      <w:r>
                        <w:rPr>
                          <w:rFonts w:hint="eastAsia"/>
                        </w:rPr>
                        <w:t>⑨</w:t>
                      </w:r>
                      <w:r>
                        <w:rPr>
                          <w:rFonts w:hint="eastAsia"/>
                        </w:rPr>
                        <w:t xml:space="preserve"> </w:t>
                      </w:r>
                      <w:r>
                        <w:rPr>
                          <w:rFonts w:hint="eastAsia"/>
                        </w:rPr>
                        <w:t>廃棄物</w:t>
                      </w:r>
                      <w:r>
                        <w:rPr>
                          <w:rFonts w:hint="default"/>
                        </w:rPr>
                        <w:t>分野</w:t>
                      </w:r>
                    </w:p>
                  </w:txbxContent>
                </v:textbox>
                <v:imagedata o:title=""/>
                <w10:wrap type="none" anchorx="text" anchory="text"/>
              </v:roundrect>
            </w:pict>
          </mc:Fallback>
        </mc:AlternateContent>
      </w:r>
    </w:p>
    <w:p>
      <w:pPr>
        <w:pStyle w:val="0"/>
        <w:ind w:left="210" w:leftChars="100"/>
        <w:rPr>
          <w:rFonts w:hint="default"/>
          <w:b w:val="1"/>
        </w:rPr>
      </w:pPr>
    </w:p>
    <w:p>
      <w:pPr>
        <w:pStyle w:val="0"/>
        <w:ind w:left="216" w:leftChars="103"/>
        <w:rPr>
          <w:rFonts w:hint="default" w:ascii="ＭＳ 明朝" w:hAnsi="ＭＳ 明朝"/>
        </w:rPr>
      </w:pPr>
      <w:r>
        <w:rPr>
          <w:rFonts w:hint="eastAsia" w:ascii="ＭＳ 明朝" w:hAnsi="ＭＳ 明朝"/>
        </w:rPr>
        <w:t>　　　</w:t>
      </w:r>
      <w:r>
        <w:rPr>
          <w:rFonts w:hint="eastAsia" w:ascii="ＭＳ ゴシック" w:hAnsi="ＭＳ ゴシック" w:eastAsia="ＭＳ ゴシック"/>
        </w:rPr>
        <w:t>部門別の温室効果ガス排出量推計（廃棄物分野）</w:t>
      </w:r>
    </w:p>
    <w:tbl>
      <w:tblPr>
        <w:tblStyle w:val="11"/>
        <w:tblW w:w="7082" w:type="dxa"/>
        <w:tblInd w:w="912" w:type="dxa"/>
        <w:tblLayout w:type="fixed"/>
        <w:tblCellMar>
          <w:left w:w="99" w:type="dxa"/>
          <w:right w:w="99" w:type="dxa"/>
        </w:tblCellMar>
        <w:tblLook w:firstRow="0" w:lastRow="0" w:firstColumn="0" w:lastColumn="0" w:noHBand="0" w:noVBand="0" w:val="0000"/>
      </w:tblPr>
      <w:tblGrid>
        <w:gridCol w:w="4328"/>
        <w:gridCol w:w="1377"/>
        <w:gridCol w:w="1377"/>
      </w:tblGrid>
      <w:tr>
        <w:trPr>
          <w:trHeight w:val="529" w:hRule="atLeast"/>
        </w:trPr>
        <w:tc>
          <w:tcPr>
            <w:tcW w:w="4328" w:type="dxa"/>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年　　度</w:t>
            </w:r>
          </w:p>
        </w:tc>
        <w:tc>
          <w:tcPr>
            <w:tcW w:w="1377" w:type="dxa"/>
            <w:tcBorders>
              <w:top w:val="single" w:color="auto" w:sz="4" w:space="0"/>
              <w:left w:val="nil"/>
              <w:bottom w:val="single" w:color="auto" w:sz="4" w:space="0"/>
              <w:right w:val="trip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基準年</w:t>
            </w:r>
          </w:p>
          <w:p>
            <w:pPr>
              <w:pStyle w:val="0"/>
              <w:snapToGrid w:val="0"/>
              <w:spacing w:line="240" w:lineRule="atLeast"/>
              <w:jc w:val="center"/>
              <w:rPr>
                <w:rFonts w:hint="default" w:ascii="ＭＳ Ｐ明朝" w:hAnsi="ＭＳ Ｐ明朝" w:eastAsia="ＭＳ Ｐ明朝"/>
                <w:kern w:val="0"/>
                <w:sz w:val="20"/>
              </w:rPr>
            </w:pPr>
            <w:r>
              <w:rPr>
                <w:rFonts w:hint="default" w:ascii="ＭＳ Ｐ明朝" w:hAnsi="ＭＳ Ｐ明朝" w:eastAsia="ＭＳ Ｐ明朝"/>
                <w:kern w:val="0"/>
                <w:sz w:val="20"/>
              </w:rPr>
              <w:t>2013</w:t>
            </w:r>
            <w:r>
              <w:rPr>
                <w:rFonts w:hint="eastAsia" w:ascii="ＭＳ Ｐ明朝" w:hAnsi="ＭＳ Ｐ明朝" w:eastAsia="ＭＳ Ｐ明朝"/>
                <w:kern w:val="0"/>
                <w:sz w:val="20"/>
              </w:rPr>
              <w:t>年度</w:t>
            </w:r>
          </w:p>
        </w:tc>
        <w:tc>
          <w:tcPr>
            <w:tcW w:w="1377"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6" w:themeFillTint="33" w:themeFillShade="FF"/>
            <w:vAlign w:val="center"/>
          </w:tcPr>
          <w:p>
            <w:pPr>
              <w:pStyle w:val="0"/>
              <w:widowControl w:val="1"/>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現況年</w:t>
            </w:r>
          </w:p>
          <w:p>
            <w:pPr>
              <w:pStyle w:val="0"/>
              <w:snapToGrid w:val="0"/>
              <w:spacing w:line="240" w:lineRule="atLeast"/>
              <w:jc w:val="center"/>
              <w:rPr>
                <w:rFonts w:hint="default" w:ascii="ＭＳ Ｐ明朝" w:hAnsi="ＭＳ Ｐ明朝" w:eastAsia="ＭＳ Ｐ明朝"/>
                <w:kern w:val="0"/>
                <w:sz w:val="20"/>
              </w:rPr>
            </w:pPr>
            <w:r>
              <w:rPr>
                <w:rFonts w:hint="eastAsia" w:ascii="ＭＳ Ｐ明朝" w:hAnsi="ＭＳ Ｐ明朝" w:eastAsia="ＭＳ Ｐ明朝"/>
                <w:kern w:val="0"/>
                <w:sz w:val="20"/>
              </w:rPr>
              <w:t>2018</w:t>
            </w:r>
            <w:r>
              <w:rPr>
                <w:rFonts w:hint="eastAsia" w:ascii="ＭＳ Ｐ明朝" w:hAnsi="ＭＳ Ｐ明朝" w:eastAsia="ＭＳ Ｐ明朝"/>
                <w:kern w:val="0"/>
                <w:sz w:val="20"/>
              </w:rPr>
              <w:t>年度</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温室効果ガス排出量（千</w:t>
            </w:r>
            <w:r>
              <w:rPr>
                <w:rFonts w:hint="eastAsia" w:ascii="ＭＳ Ｐ明朝" w:hAnsi="ＭＳ Ｐ明朝" w:eastAsia="ＭＳ Ｐ明朝"/>
                <w:kern w:val="0"/>
                <w:sz w:val="20"/>
              </w:rPr>
              <w:t>t-CO</w:t>
            </w:r>
            <w:r>
              <w:rPr>
                <w:rFonts w:hint="eastAsia" w:ascii="ＭＳ Ｐ明朝" w:hAnsi="ＭＳ Ｐ明朝" w:eastAsia="ＭＳ Ｐ明朝"/>
                <w:kern w:val="0"/>
                <w:sz w:val="20"/>
                <w:vertAlign w:val="subscript"/>
              </w:rPr>
              <w:t>2</w:t>
            </w:r>
            <w:r>
              <w:rPr>
                <w:rFonts w:hint="eastAsia" w:ascii="ＭＳ Ｐ明朝" w:hAnsi="ＭＳ Ｐ明朝" w:eastAsia="ＭＳ Ｐ明朝"/>
                <w:kern w:val="0"/>
                <w:sz w:val="20"/>
              </w:rPr>
              <w:t>）</w:t>
            </w:r>
          </w:p>
        </w:tc>
        <w:tc>
          <w:tcPr>
            <w:tcW w:w="1377" w:type="dxa"/>
            <w:tcBorders>
              <w:top w:val="single" w:color="auto" w:sz="4" w:space="0"/>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15.5</w:t>
            </w:r>
          </w:p>
        </w:tc>
        <w:tc>
          <w:tcPr>
            <w:tcW w:w="1377" w:type="dxa"/>
            <w:tcBorders>
              <w:top w:val="single" w:color="auto" w:sz="6" w:space="0"/>
              <w:left w:val="triple" w:color="auto" w:sz="4" w:space="0"/>
              <w:bottom w:val="single" w:color="auto" w:sz="6"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15.9</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参考①</w:t>
            </w:r>
            <w:r>
              <w:rPr>
                <w:rFonts w:hint="eastAsia" w:ascii="ＭＳ Ｐ明朝" w:hAnsi="ＭＳ Ｐ明朝" w:eastAsia="ＭＳ Ｐ明朝"/>
                <w:kern w:val="0"/>
                <w:sz w:val="20"/>
              </w:rPr>
              <w:t xml:space="preserve"> </w:t>
            </w:r>
            <w:r>
              <w:rPr>
                <w:rFonts w:hint="eastAsia" w:ascii="ＭＳ Ｐ明朝" w:hAnsi="ＭＳ Ｐ明朝" w:eastAsia="ＭＳ Ｐ明朝"/>
                <w:kern w:val="0"/>
                <w:sz w:val="20"/>
              </w:rPr>
              <w:t>一般廃棄物焼却処理量（ｔ）</w:t>
            </w:r>
          </w:p>
        </w:tc>
        <w:tc>
          <w:tcPr>
            <w:tcW w:w="1377" w:type="dxa"/>
            <w:tcBorders>
              <w:top w:val="nil"/>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default" w:ascii="ＭＳ Ｐ明朝" w:hAnsi="ＭＳ Ｐ明朝" w:eastAsia="ＭＳ Ｐ明朝"/>
                <w:kern w:val="0"/>
                <w:sz w:val="20"/>
              </w:rPr>
              <w:t>27,619</w:t>
            </w:r>
          </w:p>
        </w:tc>
        <w:tc>
          <w:tcPr>
            <w:tcW w:w="1377" w:type="dxa"/>
            <w:tcBorders>
              <w:top w:val="single" w:color="auto" w:sz="6" w:space="0"/>
              <w:left w:val="triple" w:color="auto" w:sz="4" w:space="0"/>
              <w:bottom w:val="single" w:color="auto" w:sz="6"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28,450</w:t>
            </w:r>
          </w:p>
        </w:tc>
      </w:tr>
      <w:tr>
        <w:trPr>
          <w:trHeight w:val="285" w:hRule="atLeast"/>
        </w:trPr>
        <w:tc>
          <w:tcPr>
            <w:tcW w:w="432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参考②</w:t>
            </w:r>
            <w:r>
              <w:rPr>
                <w:rFonts w:hint="eastAsia" w:ascii="ＭＳ Ｐ明朝" w:hAnsi="ＭＳ Ｐ明朝" w:eastAsia="ＭＳ Ｐ明朝"/>
                <w:kern w:val="0"/>
                <w:sz w:val="20"/>
              </w:rPr>
              <w:t xml:space="preserve"> </w:t>
            </w:r>
            <w:r>
              <w:rPr>
                <w:rFonts w:hint="eastAsia" w:ascii="ＭＳ Ｐ明朝" w:hAnsi="ＭＳ Ｐ明朝" w:eastAsia="ＭＳ Ｐ明朝"/>
                <w:kern w:val="0"/>
                <w:sz w:val="20"/>
              </w:rPr>
              <w:t>下水処理量（千</w:t>
            </w:r>
            <w:r>
              <w:rPr>
                <w:rFonts w:hint="eastAsia" w:ascii="ＭＳ Ｐ明朝" w:hAnsi="ＭＳ Ｐ明朝" w:eastAsia="ＭＳ Ｐ明朝"/>
                <w:kern w:val="0"/>
                <w:sz w:val="20"/>
              </w:rPr>
              <w:t>m</w:t>
            </w:r>
            <w:r>
              <w:rPr>
                <w:rFonts w:hint="eastAsia" w:ascii="ＭＳ Ｐ明朝" w:hAnsi="ＭＳ Ｐ明朝" w:eastAsia="ＭＳ Ｐ明朝"/>
                <w:kern w:val="0"/>
                <w:sz w:val="20"/>
                <w:vertAlign w:val="superscript"/>
              </w:rPr>
              <w:t>3</w:t>
            </w:r>
            <w:r>
              <w:rPr>
                <w:rFonts w:hint="eastAsia" w:ascii="ＭＳ Ｐ明朝" w:hAnsi="ＭＳ Ｐ明朝" w:eastAsia="ＭＳ Ｐ明朝"/>
                <w:kern w:val="0"/>
                <w:sz w:val="20"/>
              </w:rPr>
              <w:t>）</w:t>
            </w:r>
          </w:p>
        </w:tc>
        <w:tc>
          <w:tcPr>
            <w:tcW w:w="1377" w:type="dxa"/>
            <w:tcBorders>
              <w:top w:val="nil"/>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default" w:ascii="ＭＳ Ｐ明朝" w:hAnsi="ＭＳ Ｐ明朝" w:eastAsia="ＭＳ Ｐ明朝"/>
                <w:kern w:val="0"/>
                <w:sz w:val="20"/>
              </w:rPr>
              <w:t>5,829</w:t>
            </w:r>
          </w:p>
        </w:tc>
        <w:tc>
          <w:tcPr>
            <w:tcW w:w="1377" w:type="dxa"/>
            <w:tcBorders>
              <w:top w:val="single" w:color="auto" w:sz="6" w:space="0"/>
              <w:left w:val="triple" w:color="auto" w:sz="4" w:space="0"/>
              <w:bottom w:val="single" w:color="auto" w:sz="6"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5,952</w:t>
            </w:r>
          </w:p>
        </w:tc>
      </w:tr>
      <w:tr>
        <w:trPr>
          <w:trHeight w:val="285" w:hRule="atLeast"/>
        </w:trPr>
        <w:tc>
          <w:tcPr>
            <w:tcW w:w="432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left"/>
              <w:rPr>
                <w:rFonts w:hint="default" w:ascii="ＭＳ Ｐ明朝" w:hAnsi="ＭＳ Ｐ明朝" w:eastAsia="ＭＳ Ｐ明朝"/>
                <w:kern w:val="0"/>
                <w:sz w:val="20"/>
              </w:rPr>
            </w:pPr>
            <w:r>
              <w:rPr>
                <w:rFonts w:hint="eastAsia" w:ascii="ＭＳ Ｐ明朝" w:hAnsi="ＭＳ Ｐ明朝" w:eastAsia="ＭＳ Ｐ明朝"/>
                <w:kern w:val="0"/>
                <w:sz w:val="20"/>
              </w:rPr>
              <w:t>参考③</w:t>
            </w:r>
            <w:r>
              <w:rPr>
                <w:rFonts w:hint="eastAsia" w:ascii="ＭＳ Ｐ明朝" w:hAnsi="ＭＳ Ｐ明朝" w:eastAsia="ＭＳ Ｐ明朝"/>
                <w:kern w:val="0"/>
                <w:sz w:val="20"/>
              </w:rPr>
              <w:t xml:space="preserve"> </w:t>
            </w:r>
            <w:r>
              <w:rPr>
                <w:rFonts w:hint="eastAsia" w:ascii="ＭＳ Ｐ明朝" w:hAnsi="ＭＳ Ｐ明朝" w:eastAsia="ＭＳ Ｐ明朝"/>
                <w:kern w:val="0"/>
                <w:sz w:val="20"/>
              </w:rPr>
              <w:t>し尿及び浄化槽人口（人）</w:t>
            </w:r>
          </w:p>
        </w:tc>
        <w:tc>
          <w:tcPr>
            <w:tcW w:w="1377" w:type="dxa"/>
            <w:tcBorders>
              <w:top w:val="single" w:color="auto" w:sz="4" w:space="0"/>
              <w:left w:val="nil"/>
              <w:bottom w:val="sing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default" w:ascii="ＭＳ Ｐ明朝" w:hAnsi="ＭＳ Ｐ明朝" w:eastAsia="ＭＳ Ｐ明朝"/>
                <w:kern w:val="0"/>
                <w:sz w:val="20"/>
              </w:rPr>
              <w:t>77,510</w:t>
            </w:r>
          </w:p>
        </w:tc>
        <w:tc>
          <w:tcPr>
            <w:tcW w:w="1377"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fill="auto"/>
            <w:vAlign w:val="center"/>
          </w:tcPr>
          <w:p>
            <w:pPr>
              <w:pStyle w:val="0"/>
              <w:widowControl w:val="1"/>
              <w:snapToGrid w:val="0"/>
              <w:spacing w:line="240" w:lineRule="atLeast"/>
              <w:jc w:val="right"/>
              <w:rPr>
                <w:rFonts w:hint="default" w:ascii="ＭＳ Ｐ明朝" w:hAnsi="ＭＳ Ｐ明朝" w:eastAsia="ＭＳ Ｐ明朝"/>
                <w:kern w:val="0"/>
                <w:sz w:val="20"/>
              </w:rPr>
            </w:pPr>
            <w:r>
              <w:rPr>
                <w:rFonts w:hint="eastAsia" w:ascii="ＭＳ Ｐ明朝" w:hAnsi="ＭＳ Ｐ明朝" w:eastAsia="ＭＳ Ｐ明朝"/>
                <w:kern w:val="0"/>
                <w:sz w:val="20"/>
              </w:rPr>
              <w:t>73,442</w:t>
            </w:r>
          </w:p>
        </w:tc>
      </w:tr>
    </w:tbl>
    <w:p>
      <w:pPr>
        <w:pStyle w:val="0"/>
        <w:spacing w:line="240" w:lineRule="exact"/>
        <w:ind w:left="1050" w:leftChars="500"/>
        <w:rPr>
          <w:rFonts w:hint="default" w:ascii="ＭＳ Ｐ明朝" w:hAnsi="ＭＳ Ｐ明朝" w:eastAsia="ＭＳ Ｐ明朝"/>
          <w:sz w:val="18"/>
        </w:rPr>
      </w:pPr>
      <w:r>
        <w:rPr>
          <w:rFonts w:hint="eastAsia" w:ascii="ＭＳ Ｐ明朝" w:hAnsi="ＭＳ Ｐ明朝" w:eastAsia="ＭＳ Ｐ明朝"/>
          <w:sz w:val="18"/>
        </w:rPr>
        <w:t>参考出典：①、②、③津山市統計書及び津山市一般廃棄物処理基本計画（資料：津山市各担当課）</w:t>
      </w:r>
    </w:p>
    <w:p>
      <w:pPr>
        <w:pStyle w:val="0"/>
        <w:widowControl w:val="1"/>
        <w:jc w:val="left"/>
        <w:rPr>
          <w:rFonts w:hint="default" w:ascii="HG丸ｺﾞｼｯｸM-PRO" w:hAnsi="HG丸ｺﾞｼｯｸM-PRO" w:eastAsia="HG丸ｺﾞｼｯｸM-PRO"/>
          <w:b w:val="1"/>
          <w:color w:val="663300"/>
          <w:sz w:val="24"/>
          <w:bdr w:val="single" w:color="663300" w:sz="4" w:space="0"/>
        </w:rPr>
      </w:pPr>
      <w:r>
        <w:rPr>
          <w:rFonts w:hint="default"/>
        </w:rPr>
        <w:br w:type="page"/>
      </w:r>
      <w:r>
        <w:rPr>
          <w:rFonts w:hint="eastAsia" w:ascii="HG丸ｺﾞｼｯｸM-PRO" w:hAnsi="HG丸ｺﾞｼｯｸM-PRO" w:eastAsia="HG丸ｺﾞｼｯｸM-PRO"/>
          <w:sz w:val="24"/>
          <w:u w:val="single" w:color="auto"/>
        </w:rPr>
        <w:t>（２）温室効果ガス排出状況の比較</w:t>
      </w:r>
    </w:p>
    <w:p>
      <w:pPr>
        <w:pStyle w:val="0"/>
        <w:spacing w:before="180" w:beforeLines="50" w:beforeAutospacing="0" w:after="90" w:afterLines="25" w:afterAutospacing="0"/>
        <w:outlineLvl w:val="3"/>
        <w:rPr>
          <w:rFonts w:hint="default" w:ascii="HG丸ｺﾞｼｯｸM-PRO" w:hAnsi="HG丸ｺﾞｼｯｸM-PRO" w:eastAsia="HG丸ｺﾞｼｯｸM-PRO"/>
          <w:b w:val="1"/>
          <w:color w:val="663300"/>
          <w:sz w:val="24"/>
          <w:bdr w:val="single" w:color="663300" w:sz="4" w:space="0"/>
        </w:rPr>
      </w:pPr>
      <w:r>
        <w:rPr>
          <w:rFonts w:hint="eastAsia" w:ascii="HG丸ｺﾞｼｯｸM-PRO" w:hAnsi="HG丸ｺﾞｼｯｸM-PRO" w:eastAsia="HG丸ｺﾞｼｯｸM-PRO"/>
          <w:b w:val="1"/>
          <w:color w:val="663300"/>
          <w:sz w:val="24"/>
          <w:bdr w:val="single" w:color="663300" w:sz="4" w:space="0"/>
        </w:rPr>
        <w:t xml:space="preserve"> </w:t>
      </w:r>
      <w:r>
        <w:rPr>
          <w:rFonts w:hint="eastAsia" w:ascii="HG丸ｺﾞｼｯｸM-PRO" w:hAnsi="HG丸ｺﾞｼｯｸM-PRO" w:eastAsia="HG丸ｺﾞｼｯｸM-PRO"/>
          <w:b w:val="1"/>
          <w:color w:val="663300"/>
          <w:sz w:val="24"/>
          <w:bdr w:val="single" w:color="663300" w:sz="4" w:space="0"/>
        </w:rPr>
        <w:t>◆</w:t>
      </w:r>
      <w:r>
        <w:rPr>
          <w:rFonts w:hint="eastAsia" w:ascii="HG丸ｺﾞｼｯｸM-PRO" w:hAnsi="HG丸ｺﾞｼｯｸM-PRO" w:eastAsia="HG丸ｺﾞｼｯｸM-PRO"/>
          <w:b w:val="1"/>
          <w:color w:val="663300"/>
          <w:sz w:val="24"/>
          <w:bdr w:val="single" w:color="663300" w:sz="4" w:space="0"/>
        </w:rPr>
        <w:t xml:space="preserve"> </w:t>
      </w:r>
      <w:r>
        <w:rPr>
          <w:rFonts w:hint="eastAsia" w:ascii="HG丸ｺﾞｼｯｸM-PRO" w:hAnsi="HG丸ｺﾞｼｯｸM-PRO" w:eastAsia="HG丸ｺﾞｼｯｸM-PRO"/>
          <w:b w:val="1"/>
          <w:color w:val="663300"/>
          <w:sz w:val="24"/>
          <w:bdr w:val="single" w:color="663300" w:sz="4" w:space="0"/>
        </w:rPr>
        <w:t>国・県との比較</w:t>
      </w:r>
      <w:r>
        <w:rPr>
          <w:rFonts w:hint="eastAsia" w:ascii="HG丸ｺﾞｼｯｸM-PRO" w:hAnsi="HG丸ｺﾞｼｯｸM-PRO" w:eastAsia="HG丸ｺﾞｼｯｸM-PRO"/>
          <w:b w:val="1"/>
          <w:color w:val="663300"/>
          <w:sz w:val="24"/>
          <w:bdr w:val="single" w:color="663300" w:sz="4" w:space="0"/>
        </w:rPr>
        <w:t xml:space="preserve"> </w:t>
      </w:r>
      <w:r>
        <w:rPr>
          <w:rFonts w:hint="eastAsia" w:ascii="HG丸ｺﾞｼｯｸM-PRO" w:hAnsi="HG丸ｺﾞｼｯｸM-PRO" w:eastAsia="HG丸ｺﾞｼｯｸM-PRO"/>
          <w:b w:val="1"/>
          <w:color w:val="663300"/>
          <w:sz w:val="24"/>
          <w:bdr w:val="single" w:color="663300" w:sz="4" w:space="0"/>
        </w:rPr>
        <w:t>◆</w:t>
      </w:r>
      <w:r>
        <w:rPr>
          <w:rFonts w:hint="eastAsia" w:ascii="HG丸ｺﾞｼｯｸM-PRO" w:hAnsi="HG丸ｺﾞｼｯｸM-PRO" w:eastAsia="HG丸ｺﾞｼｯｸM-PRO"/>
          <w:b w:val="1"/>
          <w:color w:val="663300"/>
          <w:sz w:val="24"/>
          <w:bdr w:val="single" w:color="663300" w:sz="4" w:space="0"/>
        </w:rPr>
        <w:t xml:space="preserve"> </w:t>
      </w:r>
    </w:p>
    <w:p>
      <w:pPr>
        <w:pStyle w:val="0"/>
        <w:ind w:left="210" w:leftChars="1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本市の基準年及び現況年における部門・分野別温室効果ガス排出状況について、国全体及び岡山県全体と比較すると、以下のとおりです。</w:t>
      </w:r>
    </w:p>
    <w:p>
      <w:pPr>
        <w:pStyle w:val="0"/>
        <w:ind w:left="210" w:leftChars="100" w:firstLine="210" w:firstLineChars="100"/>
        <w:jc w:val="center"/>
        <w:rPr>
          <w:rFonts w:hint="default" w:ascii="HG丸ｺﾞｼｯｸM-PRO" w:hAnsi="HG丸ｺﾞｼｯｸM-PRO" w:eastAsia="HG丸ｺﾞｼｯｸM-PRO"/>
        </w:rPr>
      </w:pPr>
      <w:r>
        <w:rPr>
          <w:rFonts w:hint="eastAsia"/>
        </w:rPr>
        <w:drawing>
          <wp:inline>
            <wp:extent cx="5928360" cy="2661285"/>
            <wp:effectExtent l="0" t="0" r="0" b="0"/>
            <wp:docPr id="1085" name="図 1"/>
            <a:graphic xmlns:a="http://schemas.openxmlformats.org/drawingml/2006/main">
              <a:graphicData uri="http://schemas.openxmlformats.org/drawingml/2006/picture">
                <pic:pic xmlns:pic="http://schemas.openxmlformats.org/drawingml/2006/picture">
                  <pic:nvPicPr>
                    <pic:cNvPr id="1085" name="図 1"/>
                    <pic:cNvPicPr>
                      <a:picLocks noChangeAspect="1"/>
                    </pic:cNvPicPr>
                  </pic:nvPicPr>
                  <pic:blipFill>
                    <a:blip r:embed="rId31"/>
                    <a:stretch>
                      <a:fillRect/>
                    </a:stretch>
                  </pic:blipFill>
                  <pic:spPr>
                    <a:xfrm>
                      <a:off x="0" y="0"/>
                      <a:ext cx="5928360" cy="2661285"/>
                    </a:xfrm>
                    <a:prstGeom prst="rect">
                      <a:avLst/>
                    </a:prstGeom>
                    <a:noFill/>
                    <a:ln>
                      <a:noFill/>
                    </a:ln>
                  </pic:spPr>
                </pic:pic>
              </a:graphicData>
            </a:graphic>
          </wp:inline>
        </w:drawing>
      </w:r>
    </w:p>
    <w:p>
      <w:pPr>
        <w:pStyle w:val="0"/>
        <w:ind w:left="210" w:leftChars="100" w:firstLine="210" w:firstLineChars="100"/>
        <w:rPr>
          <w:rFonts w:hint="default" w:ascii="HG丸ｺﾞｼｯｸM-PRO" w:hAnsi="HG丸ｺﾞｼｯｸM-PRO" w:eastAsia="HG丸ｺﾞｼｯｸM-PRO"/>
        </w:rPr>
      </w:pPr>
    </w:p>
    <w:p>
      <w:pPr>
        <w:pStyle w:val="0"/>
        <w:ind w:left="210" w:leftChars="100" w:firstLine="210" w:firstLineChars="100"/>
        <w:jc w:val="center"/>
        <w:rPr>
          <w:rFonts w:hint="default" w:ascii="HG丸ｺﾞｼｯｸM-PRO" w:hAnsi="HG丸ｺﾞｼｯｸM-PRO" w:eastAsia="HG丸ｺﾞｼｯｸM-PRO"/>
        </w:rPr>
      </w:pPr>
    </w:p>
    <w:p>
      <w:pPr>
        <w:pStyle w:val="0"/>
        <w:ind w:left="210" w:leftChars="100" w:firstLine="210" w:firstLineChars="100"/>
        <w:rPr>
          <w:rFonts w:hint="default" w:ascii="HG丸ｺﾞｼｯｸM-PRO" w:hAnsi="HG丸ｺﾞｼｯｸM-PRO" w:eastAsia="HG丸ｺﾞｼｯｸM-PRO"/>
        </w:rPr>
      </w:pPr>
      <w:r>
        <w:rPr>
          <w:rFonts w:hint="eastAsia"/>
        </w:rPr>
        <w:object w:dxaOrig="10830" w:dyaOrig="4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style="height:209.15pt;width:469.05pt;" o:allowoverlap="t" filled="f" o:spt="75" type="#_x0000_t75">
            <v:fill/>
            <v:stroke joinstyle="miter"/>
            <v:imagedata o:title="" r:id="rId32"/>
            <o:lock v:ext="edit" aspectratio="t"/>
            <w10:anchorlock/>
          </v:shape>
          <o:OLEObject Type="Embed" ProgID="Excel.Sheet.12" ShapeID="_x0000_s1086" DrawAspect="Content" ObjectID="" r:id="rId33"/>
        </w:object>
      </w:r>
    </w:p>
    <w:p>
      <w:pPr>
        <w:pStyle w:val="0"/>
        <w:jc w:val="center"/>
        <w:rPr>
          <w:rFonts w:hint="default" w:ascii="HG丸ｺﾞｼｯｸM-PRO" w:hAnsi="HG丸ｺﾞｼｯｸM-PRO" w:eastAsia="HG丸ｺﾞｼｯｸM-PRO"/>
        </w:rPr>
      </w:pPr>
      <w:r>
        <w:rPr>
          <w:rFonts w:hint="eastAsia"/>
        </w:rPr>
        <w:drawing>
          <wp:inline>
            <wp:extent cx="5977890" cy="2681605"/>
            <wp:effectExtent l="0" t="0" r="0" b="0"/>
            <wp:docPr id="1087" name="図 3"/>
            <a:graphic xmlns:a="http://schemas.openxmlformats.org/drawingml/2006/main">
              <a:graphicData uri="http://schemas.openxmlformats.org/drawingml/2006/picture">
                <pic:pic xmlns:pic="http://schemas.openxmlformats.org/drawingml/2006/picture">
                  <pic:nvPicPr>
                    <pic:cNvPr id="1087" name="図 3"/>
                    <pic:cNvPicPr>
                      <a:picLocks noChangeAspect="1"/>
                    </pic:cNvPicPr>
                  </pic:nvPicPr>
                  <pic:blipFill>
                    <a:blip r:embed="rId34"/>
                    <a:stretch>
                      <a:fillRect/>
                    </a:stretch>
                  </pic:blipFill>
                  <pic:spPr>
                    <a:xfrm>
                      <a:off x="0" y="0"/>
                      <a:ext cx="5977890" cy="2681605"/>
                    </a:xfrm>
                    <a:prstGeom prst="rect">
                      <a:avLst/>
                    </a:prstGeom>
                    <a:noFill/>
                    <a:ln>
                      <a:noFill/>
                    </a:ln>
                  </pic:spPr>
                </pic:pic>
              </a:graphicData>
            </a:graphic>
          </wp:inline>
        </w:drawing>
      </w:r>
    </w:p>
    <w:p>
      <w:pPr>
        <w:pStyle w:val="0"/>
        <w:spacing w:line="320" w:lineRule="exact"/>
        <w:jc w:val="center"/>
        <w:rPr>
          <w:rFonts w:hint="default" w:ascii="ＭＳ 明朝" w:hAnsi="ＭＳ 明朝" w:eastAsia="ＭＳ 明朝"/>
        </w:rPr>
      </w:pPr>
      <w:r>
        <w:rPr>
          <w:rFonts w:hint="eastAsia" w:ascii="ＭＳ ゴシック" w:hAnsi="ＭＳ ゴシック" w:eastAsia="ＭＳ ゴシック"/>
        </w:rPr>
        <w:t>表　温室効果ガス排出量の比較</w:t>
      </w:r>
    </w:p>
    <w:p>
      <w:pPr>
        <w:pStyle w:val="0"/>
        <w:ind w:left="210" w:leftChars="100"/>
        <w:rPr>
          <w:rFonts w:hint="default" w:ascii="ＭＳ 明朝" w:hAnsi="ＭＳ 明朝" w:eastAsia="ＭＳ 明朝"/>
        </w:rPr>
      </w:pPr>
    </w:p>
    <w:p>
      <w:pPr>
        <w:pStyle w:val="0"/>
        <w:snapToGrid w:val="0"/>
        <w:spacing w:before="90" w:beforeLines="25" w:beforeAutospacing="0" w:line="200" w:lineRule="exact"/>
        <w:ind w:left="420" w:leftChars="200"/>
        <w:rPr>
          <w:rFonts w:hint="default" w:ascii="ＭＳ ゴシック" w:hAnsi="ＭＳ ゴシック" w:eastAsia="ＭＳ ゴシック"/>
          <w:sz w:val="16"/>
        </w:rPr>
      </w:pPr>
      <w:r>
        <w:rPr>
          <w:rFonts w:hint="eastAsia" w:ascii="ＭＳ ゴシック" w:hAnsi="ＭＳ ゴシック" w:eastAsia="ＭＳ ゴシック"/>
          <w:sz w:val="16"/>
        </w:rPr>
        <w:t>※共通する「産業部門」、「業務その他部門」、「家庭部門」、「運輸部門」の合計をもとに算出。</w:t>
      </w:r>
    </w:p>
    <w:p>
      <w:pPr>
        <w:pStyle w:val="0"/>
        <w:snapToGrid w:val="0"/>
        <w:spacing w:line="200" w:lineRule="exact"/>
        <w:ind w:left="420" w:leftChars="200"/>
        <w:rPr>
          <w:rFonts w:hint="default" w:ascii="ＭＳ ゴシック" w:hAnsi="ＭＳ ゴシック" w:eastAsia="ＭＳ ゴシック"/>
          <w:sz w:val="16"/>
        </w:rPr>
      </w:pPr>
      <w:r>
        <w:rPr>
          <w:rFonts w:hint="eastAsia" w:ascii="ＭＳ ゴシック" w:hAnsi="ＭＳ ゴシック" w:eastAsia="ＭＳ ゴシック"/>
          <w:sz w:val="16"/>
        </w:rPr>
        <w:t>注１</w:t>
      </w:r>
      <w:r>
        <w:rPr>
          <w:rFonts w:hint="eastAsia" w:ascii="ＭＳ ゴシック" w:hAnsi="ＭＳ ゴシック" w:eastAsia="ＭＳ ゴシック"/>
          <w:sz w:val="16"/>
        </w:rPr>
        <w:t>)</w:t>
      </w:r>
      <w:r>
        <w:rPr>
          <w:rFonts w:hint="eastAsia" w:ascii="ＭＳ ゴシック" w:hAnsi="ＭＳ ゴシック" w:eastAsia="ＭＳ ゴシック"/>
          <w:sz w:val="16"/>
        </w:rPr>
        <w:t>岡山県はメタン、一酸化二窒素を一括して計上。そのため、「燃料の燃焼分野」等には「廃棄物分野」も含む。</w:t>
      </w:r>
    </w:p>
    <w:p>
      <w:pPr>
        <w:pStyle w:val="0"/>
        <w:snapToGrid w:val="0"/>
        <w:spacing w:line="200" w:lineRule="exact"/>
        <w:ind w:left="420" w:leftChars="200"/>
        <w:rPr>
          <w:rFonts w:hint="default" w:ascii="ＭＳ ゴシック" w:hAnsi="ＭＳ ゴシック" w:eastAsia="ＭＳ ゴシック"/>
          <w:sz w:val="16"/>
        </w:rPr>
      </w:pPr>
      <w:r>
        <w:rPr>
          <w:rFonts w:hint="eastAsia" w:ascii="ＭＳ ゴシック" w:hAnsi="ＭＳ ゴシック" w:eastAsia="ＭＳ ゴシック"/>
          <w:sz w:val="16"/>
        </w:rPr>
        <w:t>注２</w:t>
      </w:r>
      <w:r>
        <w:rPr>
          <w:rFonts w:hint="eastAsia" w:ascii="ＭＳ ゴシック" w:hAnsi="ＭＳ ゴシック" w:eastAsia="ＭＳ ゴシック"/>
          <w:sz w:val="16"/>
        </w:rPr>
        <w:t>)</w:t>
      </w:r>
      <w:r>
        <w:rPr>
          <w:rFonts w:hint="eastAsia" w:ascii="ＭＳ ゴシック" w:hAnsi="ＭＳ ゴシック" w:eastAsia="ＭＳ ゴシック"/>
          <w:sz w:val="16"/>
        </w:rPr>
        <w:t>岡山県の「廃棄物分野」は二酸化炭素のみの排出量。</w:t>
      </w:r>
    </w:p>
    <w:p>
      <w:pPr>
        <w:pStyle w:val="0"/>
        <w:snapToGrid w:val="0"/>
        <w:spacing w:before="90" w:beforeLines="25" w:beforeAutospacing="0" w:line="200" w:lineRule="exact"/>
        <w:ind w:left="420" w:leftChars="200"/>
        <w:rPr>
          <w:rFonts w:hint="default" w:ascii="ＭＳ ゴシック" w:hAnsi="ＭＳ ゴシック" w:eastAsia="ＭＳ ゴシック"/>
          <w:sz w:val="16"/>
        </w:rPr>
      </w:pPr>
      <w:r>
        <w:rPr>
          <w:rFonts w:hint="eastAsia" w:ascii="ＭＳ ゴシック" w:hAnsi="ＭＳ ゴシック" w:eastAsia="ＭＳ ゴシック"/>
          <w:sz w:val="16"/>
        </w:rPr>
        <w:t>資料出典：国全体）温室効果ガス排出量（確報値）について（環境省）</w:t>
      </w:r>
    </w:p>
    <w:p>
      <w:pPr>
        <w:pStyle w:val="0"/>
        <w:snapToGrid w:val="0"/>
        <w:spacing w:line="200" w:lineRule="exact"/>
        <w:ind w:left="1186" w:leftChars="565"/>
        <w:rPr>
          <w:rFonts w:hint="default" w:ascii="ＭＳ ゴシック" w:hAnsi="ＭＳ ゴシック" w:eastAsia="ＭＳ ゴシック"/>
          <w:sz w:val="16"/>
        </w:rPr>
      </w:pPr>
      <w:r>
        <w:rPr>
          <w:rFonts w:hint="eastAsia" w:ascii="ＭＳ ゴシック" w:hAnsi="ＭＳ ゴシック" w:eastAsia="ＭＳ ゴシック"/>
          <w:sz w:val="16"/>
        </w:rPr>
        <w:t>岡山県）温室効果ガス排出量の状況について（平成</w:t>
      </w:r>
      <w:r>
        <w:rPr>
          <w:rFonts w:hint="eastAsia" w:ascii="ＭＳ ゴシック" w:hAnsi="ＭＳ ゴシック" w:eastAsia="ＭＳ ゴシック"/>
          <w:sz w:val="16"/>
        </w:rPr>
        <w:t>29</w:t>
      </w:r>
      <w:r>
        <w:rPr>
          <w:rFonts w:hint="eastAsia" w:ascii="ＭＳ ゴシック" w:hAnsi="ＭＳ ゴシック" w:eastAsia="ＭＳ ゴシック"/>
          <w:sz w:val="16"/>
        </w:rPr>
        <w:t>年度・平成</w:t>
      </w:r>
      <w:r>
        <w:rPr>
          <w:rFonts w:hint="eastAsia" w:ascii="ＭＳ ゴシック" w:hAnsi="ＭＳ ゴシック" w:eastAsia="ＭＳ ゴシック"/>
          <w:sz w:val="16"/>
        </w:rPr>
        <w:t>30</w:t>
      </w:r>
      <w:r>
        <w:rPr>
          <w:rFonts w:hint="eastAsia" w:ascii="ＭＳ ゴシック" w:hAnsi="ＭＳ ゴシック" w:eastAsia="ＭＳ ゴシック"/>
          <w:sz w:val="16"/>
        </w:rPr>
        <w:t>年度速報値）（岡山県）</w:t>
      </w:r>
    </w:p>
    <w:p>
      <w:pPr>
        <w:pStyle w:val="0"/>
        <w:snapToGrid w:val="0"/>
        <w:spacing w:line="200" w:lineRule="exact"/>
        <w:ind w:left="1186" w:leftChars="565"/>
        <w:rPr>
          <w:rFonts w:hint="default" w:ascii="ＭＳ ゴシック" w:hAnsi="ＭＳ ゴシック" w:eastAsia="ＭＳ ゴシック"/>
          <w:sz w:val="16"/>
        </w:rPr>
      </w:pPr>
      <w:r>
        <w:rPr>
          <w:rFonts w:hint="eastAsia" w:ascii="ＭＳ ゴシック" w:hAnsi="ＭＳ ゴシック" w:eastAsia="ＭＳ ゴシック"/>
          <w:sz w:val="16"/>
        </w:rPr>
        <w:t>津山市）今回推計値</w:t>
      </w:r>
    </w:p>
    <w:p>
      <w:pPr>
        <w:pStyle w:val="0"/>
        <w:snapToGrid w:val="0"/>
        <w:spacing w:before="90" w:beforeLines="25" w:beforeAutospacing="0" w:line="200" w:lineRule="exact"/>
        <w:ind w:left="1860" w:leftChars="200" w:hanging="1440" w:hangingChars="900"/>
        <w:rPr>
          <w:rFonts w:hint="eastAsia" w:ascii="ＭＳ ゴシック" w:hAnsi="ＭＳ ゴシック" w:eastAsia="ＭＳ ゴシック"/>
          <w:sz w:val="16"/>
        </w:rPr>
      </w:pPr>
      <w:r>
        <w:rPr>
          <w:rFonts w:hint="eastAsia" w:ascii="ＭＳ ゴシック" w:hAnsi="ＭＳ ゴシック" w:eastAsia="ＭＳ ゴシック"/>
          <w:sz w:val="16"/>
        </w:rPr>
        <w:t>人口資料：国全体）</w:t>
      </w:r>
      <w:r>
        <w:rPr>
          <w:rFonts w:hint="eastAsia" w:ascii="ＭＳ ゴシック" w:hAnsi="ＭＳ ゴシック" w:eastAsia="ＭＳ ゴシック"/>
          <w:sz w:val="16"/>
        </w:rPr>
        <w:t>H25~26</w:t>
      </w:r>
      <w:r>
        <w:rPr>
          <w:rFonts w:hint="eastAsia" w:ascii="ＭＳ ゴシック" w:hAnsi="ＭＳ ゴシック" w:eastAsia="ＭＳ ゴシック"/>
          <w:sz w:val="16"/>
        </w:rPr>
        <w:t>：推計人口（各年</w:t>
      </w:r>
      <w:r>
        <w:rPr>
          <w:rFonts w:hint="eastAsia" w:ascii="ＭＳ ゴシック" w:hAnsi="ＭＳ ゴシック" w:eastAsia="ＭＳ ゴシック"/>
          <w:sz w:val="16"/>
        </w:rPr>
        <w:t>10</w:t>
      </w:r>
      <w:r>
        <w:rPr>
          <w:rFonts w:hint="eastAsia" w:ascii="ＭＳ ゴシック" w:hAnsi="ＭＳ ゴシック" w:eastAsia="ＭＳ ゴシック"/>
          <w:sz w:val="16"/>
        </w:rPr>
        <w:t>月</w:t>
      </w:r>
      <w:r>
        <w:rPr>
          <w:rFonts w:hint="eastAsia" w:ascii="ＭＳ ゴシック" w:hAnsi="ＭＳ ゴシック" w:eastAsia="ＭＳ ゴシック"/>
          <w:sz w:val="16"/>
        </w:rPr>
        <w:t>1</w:t>
      </w:r>
      <w:r>
        <w:rPr>
          <w:rFonts w:hint="eastAsia" w:ascii="ＭＳ ゴシック" w:hAnsi="ＭＳ ゴシック" w:eastAsia="ＭＳ ゴシック"/>
          <w:sz w:val="16"/>
        </w:rPr>
        <w:t>日現在）</w:t>
      </w:r>
      <w:r>
        <w:rPr>
          <w:rFonts w:hint="eastAsia" w:ascii="ＭＳ ゴシック" w:hAnsi="ＭＳ ゴシック" w:eastAsia="ＭＳ ゴシック"/>
          <w:sz w:val="16"/>
        </w:rPr>
        <w:t>,H27</w:t>
      </w:r>
      <w:r>
        <w:rPr>
          <w:rFonts w:hint="eastAsia" w:ascii="ＭＳ ゴシック" w:hAnsi="ＭＳ ゴシック" w:eastAsia="ＭＳ ゴシック"/>
          <w:sz w:val="16"/>
        </w:rPr>
        <w:t>：</w:t>
      </w:r>
      <w:r>
        <w:rPr>
          <w:rFonts w:hint="eastAsia" w:ascii="ＭＳ ゴシック" w:hAnsi="ＭＳ ゴシック" w:eastAsia="ＭＳ ゴシック"/>
          <w:sz w:val="16"/>
        </w:rPr>
        <w:t>e-stat</w:t>
      </w:r>
      <w:r>
        <w:rPr>
          <w:rFonts w:hint="eastAsia" w:ascii="ＭＳ ゴシック" w:hAnsi="ＭＳ ゴシック" w:eastAsia="ＭＳ ゴシック"/>
          <w:sz w:val="16"/>
        </w:rPr>
        <w:t>「国勢調査」</w:t>
      </w:r>
      <w:r>
        <w:rPr>
          <w:rFonts w:hint="eastAsia" w:ascii="ＭＳ ゴシック" w:hAnsi="ＭＳ ゴシック" w:eastAsia="ＭＳ ゴシック"/>
          <w:sz w:val="16"/>
        </w:rPr>
        <w:t>,H28~</w:t>
      </w:r>
      <w:r>
        <w:rPr>
          <w:rFonts w:hint="eastAsia" w:ascii="ＭＳ ゴシック" w:hAnsi="ＭＳ ゴシック" w:eastAsia="ＭＳ ゴシック"/>
          <w:sz w:val="16"/>
        </w:rPr>
        <w:t>：</w:t>
      </w:r>
      <w:r>
        <w:rPr>
          <w:rFonts w:hint="eastAsia" w:ascii="ＭＳ ゴシック" w:hAnsi="ＭＳ ゴシック" w:eastAsia="ＭＳ ゴシック"/>
          <w:sz w:val="16"/>
        </w:rPr>
        <w:t>e-stat</w:t>
      </w:r>
      <w:r>
        <w:rPr>
          <w:rFonts w:hint="eastAsia" w:ascii="ＭＳ ゴシック" w:hAnsi="ＭＳ ゴシック" w:eastAsia="ＭＳ ゴシック"/>
          <w:sz w:val="16"/>
        </w:rPr>
        <w:t>「人口推計」（各年</w:t>
      </w:r>
      <w:r>
        <w:rPr>
          <w:rFonts w:hint="eastAsia" w:ascii="ＭＳ ゴシック" w:hAnsi="ＭＳ ゴシック" w:eastAsia="ＭＳ ゴシック"/>
          <w:sz w:val="16"/>
        </w:rPr>
        <w:t>10</w:t>
      </w:r>
      <w:r>
        <w:rPr>
          <w:rFonts w:hint="eastAsia" w:ascii="ＭＳ ゴシック" w:hAnsi="ＭＳ ゴシック" w:eastAsia="ＭＳ ゴシック"/>
          <w:sz w:val="16"/>
        </w:rPr>
        <w:t>月</w:t>
      </w:r>
      <w:r>
        <w:rPr>
          <w:rFonts w:hint="eastAsia" w:ascii="ＭＳ ゴシック" w:hAnsi="ＭＳ ゴシック" w:eastAsia="ＭＳ ゴシック"/>
          <w:sz w:val="16"/>
        </w:rPr>
        <w:t>1</w:t>
      </w:r>
      <w:r>
        <w:rPr>
          <w:rFonts w:hint="eastAsia" w:ascii="ＭＳ ゴシック" w:hAnsi="ＭＳ ゴシック" w:eastAsia="ＭＳ ゴシック"/>
          <w:sz w:val="16"/>
        </w:rPr>
        <w:t>日現在）</w:t>
      </w:r>
    </w:p>
    <w:p>
      <w:pPr>
        <w:pStyle w:val="0"/>
        <w:snapToGrid w:val="0"/>
        <w:spacing w:line="200" w:lineRule="exact"/>
        <w:ind w:firstLine="1200" w:firstLineChars="750"/>
        <w:rPr>
          <w:rFonts w:hint="eastAsia" w:ascii="ＭＳ ゴシック" w:hAnsi="ＭＳ ゴシック" w:eastAsia="ＭＳ ゴシック"/>
          <w:sz w:val="16"/>
        </w:rPr>
      </w:pPr>
      <w:r>
        <w:rPr>
          <w:rFonts w:hint="eastAsia" w:ascii="ＭＳ ゴシック" w:hAnsi="ＭＳ ゴシック" w:eastAsia="ＭＳ ゴシック"/>
          <w:sz w:val="16"/>
        </w:rPr>
        <w:t>岡山県）住民基本台帳に基づく人口、人口動態及び世帯数調査（総務省）</w:t>
      </w:r>
    </w:p>
    <w:p>
      <w:pPr>
        <w:pStyle w:val="0"/>
        <w:snapToGrid w:val="0"/>
        <w:spacing w:line="200" w:lineRule="exact"/>
        <w:ind w:firstLine="1200" w:firstLineChars="750"/>
        <w:rPr>
          <w:rFonts w:hint="default" w:ascii="ＭＳ ゴシック" w:hAnsi="ＭＳ ゴシック" w:eastAsia="ＭＳ ゴシック"/>
          <w:sz w:val="16"/>
        </w:rPr>
      </w:pPr>
      <w:r>
        <w:rPr>
          <w:rFonts w:hint="eastAsia" w:ascii="ＭＳ ゴシック" w:hAnsi="ＭＳ ゴシック" w:eastAsia="ＭＳ ゴシック"/>
          <w:sz w:val="16"/>
        </w:rPr>
        <w:t>津山市）津山市統計書</w:t>
      </w:r>
    </w:p>
    <w:p>
      <w:pPr>
        <w:pStyle w:val="0"/>
        <w:snapToGrid w:val="0"/>
        <w:spacing w:line="200" w:lineRule="exact"/>
        <w:ind w:firstLine="1200" w:firstLineChars="750"/>
        <w:rPr>
          <w:rFonts w:hint="default" w:ascii="ＭＳ ゴシック" w:hAnsi="ＭＳ ゴシック" w:eastAsia="ＭＳ ゴシック"/>
          <w:sz w:val="16"/>
        </w:rPr>
      </w:pPr>
      <w:r>
        <w:rPr>
          <w:rFonts w:hint="eastAsia"/>
        </w:rPr>
        <w:br w:type="page"/>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32"/>
        </w:rPr>
        <w:t>第</w:t>
      </w:r>
      <w:r>
        <w:rPr>
          <w:rFonts w:hint="eastAsia" w:ascii="HG丸ｺﾞｼｯｸM-PRO" w:hAnsi="HG丸ｺﾞｼｯｸM-PRO" w:eastAsia="HG丸ｺﾞｼｯｸM-PRO"/>
          <w:sz w:val="32"/>
        </w:rPr>
        <w:t>4</w:t>
      </w:r>
      <w:r>
        <w:rPr>
          <w:rFonts w:hint="eastAsia" w:ascii="HG丸ｺﾞｼｯｸM-PRO" w:hAnsi="HG丸ｺﾞｼｯｸM-PRO" w:eastAsia="HG丸ｺﾞｼｯｸM-PRO"/>
          <w:sz w:val="32"/>
        </w:rPr>
        <w:t>章　津山市の環境の状況</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この章では、大気質、騒音、水質、ごみ処理、リサイクル率等の推移を示しています。なお、環境基準については概ね下回っています。また、これまでの章同様、データについては把握可能な最新データを活用しています。</w: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u w:val="single" w:color="auto"/>
        </w:rPr>
      </w:pPr>
      <w:r>
        <w:rPr>
          <w:rFonts w:hint="eastAsia" w:ascii="HG丸ｺﾞｼｯｸM-PRO" w:hAnsi="HG丸ｺﾞｼｯｸM-PRO" w:eastAsia="HG丸ｺﾞｼｯｸM-PRO"/>
          <w:sz w:val="24"/>
          <w:u w:val="single" w:color="auto"/>
        </w:rPr>
        <w:t>（１）大気質</w:t>
      </w: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　◆大気汚染に係る環境基準</w:t>
      </w:r>
    </w:p>
    <w:tbl>
      <w:tblPr>
        <w:tblStyle w:val="11"/>
        <w:tblW w:w="900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99" w:type="dxa"/>
          <w:right w:w="99" w:type="dxa"/>
        </w:tblCellMar>
        <w:tblLook w:firstRow="0" w:lastRow="0" w:firstColumn="0" w:lastColumn="0" w:noHBand="0" w:noVBand="0" w:val="0000"/>
      </w:tblPr>
      <w:tblGrid>
        <w:gridCol w:w="1425"/>
        <w:gridCol w:w="1515"/>
        <w:gridCol w:w="1515"/>
        <w:gridCol w:w="1515"/>
        <w:gridCol w:w="1515"/>
        <w:gridCol w:w="1515"/>
      </w:tblGrid>
      <w:tr>
        <w:trPr>
          <w:trHeight w:val="195" w:hRule="atLeast"/>
        </w:trPr>
        <w:tc>
          <w:tcPr>
            <w:tcW w:w="1425"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themeFill="background1" w:themeFillTint="FF" w:themeFillShade="BF"/>
            <w:vAlign w:val="center"/>
          </w:tcPr>
          <w:p>
            <w:pPr>
              <w:pStyle w:val="0"/>
              <w:autoSpaceD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物　　質</w:t>
            </w:r>
          </w:p>
        </w:tc>
        <w:tc>
          <w:tcPr>
            <w:tcW w:w="1515" w:type="dxa"/>
            <w:shd w:val="clear" w:color="auto" w:themeFill="background1" w:themeFillTint="FF" w:themeFillShade="BF"/>
            <w:vAlign w:val="center"/>
          </w:tcPr>
          <w:p>
            <w:pPr>
              <w:pStyle w:val="0"/>
              <w:autoSpaceD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二酸化硫黄</w:t>
            </w:r>
          </w:p>
        </w:tc>
        <w:tc>
          <w:tcPr>
            <w:tcW w:w="1515" w:type="dxa"/>
            <w:shd w:val="clear" w:color="auto" w:themeFill="background1" w:themeFillTint="FF" w:themeFillShade="BF"/>
            <w:vAlign w:val="center"/>
          </w:tcPr>
          <w:p>
            <w:pPr>
              <w:pStyle w:val="0"/>
              <w:autoSpaceD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二酸化窒素</w:t>
            </w:r>
          </w:p>
        </w:tc>
        <w:tc>
          <w:tcPr>
            <w:tcW w:w="1515" w:type="dxa"/>
            <w:shd w:val="clear" w:color="auto" w:themeFill="background1" w:themeFillTint="FF" w:themeFillShade="BF"/>
            <w:vAlign w:val="center"/>
          </w:tcPr>
          <w:p>
            <w:pPr>
              <w:pStyle w:val="0"/>
              <w:autoSpaceD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浮遊粒子状物質</w:t>
            </w:r>
          </w:p>
        </w:tc>
        <w:tc>
          <w:tcPr>
            <w:tcW w:w="1515" w:type="dxa"/>
            <w:shd w:val="clear" w:color="auto" w:themeFill="background1" w:themeFillTint="FF" w:themeFillShade="BF"/>
            <w:vAlign w:val="center"/>
          </w:tcPr>
          <w:p>
            <w:pPr>
              <w:pStyle w:val="0"/>
              <w:autoSpaceD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光化学</w:t>
            </w:r>
          </w:p>
          <w:p>
            <w:pPr>
              <w:pStyle w:val="0"/>
              <w:autoSpaceD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オキシダント</w:t>
            </w:r>
          </w:p>
        </w:tc>
        <w:tc>
          <w:tcPr>
            <w:tcW w:w="1515" w:type="dxa"/>
            <w:shd w:val="clear" w:color="auto" w:themeFill="background1" w:themeFillTint="FF" w:themeFillShade="BF"/>
            <w:vAlign w:val="center"/>
          </w:tcPr>
          <w:p>
            <w:pPr>
              <w:pStyle w:val="0"/>
              <w:autoSpaceD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一酸化炭素</w:t>
            </w:r>
          </w:p>
        </w:tc>
      </w:tr>
      <w:tr>
        <w:trPr>
          <w:trHeight w:val="360" w:hRule="atLeast"/>
        </w:trPr>
        <w:tc>
          <w:tcPr>
            <w:tcW w:w="1425" w:type="dxa"/>
            <w:shd w:val="clear" w:color="auto" w:themeFill="background1" w:themeFillTint="FF" w:themeFillShade="BF"/>
            <w:vAlign w:val="center"/>
          </w:tcPr>
          <w:p>
            <w:pPr>
              <w:pStyle w:val="0"/>
              <w:autoSpaceD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環境上の条件</w:t>
            </w:r>
          </w:p>
        </w:tc>
        <w:tc>
          <w:tcPr>
            <w:tcW w:w="1515" w:type="dxa"/>
            <w:vAlign w:val="top"/>
          </w:tcPr>
          <w:p>
            <w:pPr>
              <w:pStyle w:val="0"/>
              <w:autoSpaceDE w:val="0"/>
              <w:spacing w:line="0" w:lineRule="atLeast"/>
              <w:ind w:right="-42" w:rightChars="-20"/>
              <w:jc w:val="left"/>
              <w:rPr>
                <w:rFonts w:hint="default" w:asciiTheme="majorEastAsia" w:hAnsiTheme="majorEastAsia" w:eastAsiaTheme="majorEastAsia"/>
                <w:sz w:val="18"/>
              </w:rPr>
            </w:pPr>
            <w:r>
              <w:rPr>
                <w:rFonts w:hint="eastAsia" w:asciiTheme="majorEastAsia" w:hAnsiTheme="majorEastAsia" w:eastAsiaTheme="majorEastAsia"/>
                <w:sz w:val="18"/>
              </w:rPr>
              <w:t>1</w:t>
            </w:r>
            <w:r>
              <w:rPr>
                <w:rFonts w:hint="eastAsia" w:asciiTheme="majorEastAsia" w:hAnsiTheme="majorEastAsia" w:eastAsiaTheme="majorEastAsia"/>
                <w:sz w:val="18"/>
              </w:rPr>
              <w:t>時間値の</w:t>
            </w:r>
            <w:r>
              <w:rPr>
                <w:rFonts w:hint="eastAsia" w:asciiTheme="majorEastAsia" w:hAnsiTheme="majorEastAsia" w:eastAsiaTheme="majorEastAsia"/>
                <w:sz w:val="18"/>
              </w:rPr>
              <w:t>1</w:t>
            </w:r>
            <w:r>
              <w:rPr>
                <w:rFonts w:hint="eastAsia" w:asciiTheme="majorEastAsia" w:hAnsiTheme="majorEastAsia" w:eastAsiaTheme="majorEastAsia"/>
                <w:sz w:val="18"/>
              </w:rPr>
              <w:t>日平均値が</w:t>
            </w:r>
            <w:r>
              <w:rPr>
                <w:rFonts w:hint="eastAsia" w:asciiTheme="majorEastAsia" w:hAnsiTheme="majorEastAsia" w:eastAsiaTheme="majorEastAsia"/>
                <w:sz w:val="18"/>
              </w:rPr>
              <w:t>0.04ppm</w:t>
            </w:r>
            <w:r>
              <w:rPr>
                <w:rFonts w:hint="eastAsia" w:asciiTheme="majorEastAsia" w:hAnsiTheme="majorEastAsia" w:eastAsiaTheme="majorEastAsia"/>
                <w:sz w:val="18"/>
              </w:rPr>
              <w:t>以下であり、かつ、</w:t>
            </w:r>
            <w:r>
              <w:rPr>
                <w:rFonts w:hint="eastAsia" w:asciiTheme="majorEastAsia" w:hAnsiTheme="majorEastAsia" w:eastAsiaTheme="majorEastAsia"/>
                <w:sz w:val="18"/>
              </w:rPr>
              <w:t>1</w:t>
            </w:r>
            <w:r>
              <w:rPr>
                <w:rFonts w:hint="eastAsia" w:asciiTheme="majorEastAsia" w:hAnsiTheme="majorEastAsia" w:eastAsiaTheme="majorEastAsia"/>
                <w:sz w:val="18"/>
              </w:rPr>
              <w:t>時間値が</w:t>
            </w:r>
            <w:r>
              <w:rPr>
                <w:rFonts w:hint="eastAsia" w:asciiTheme="majorEastAsia" w:hAnsiTheme="majorEastAsia" w:eastAsiaTheme="majorEastAsia"/>
                <w:sz w:val="18"/>
              </w:rPr>
              <w:t>0.1ppm</w:t>
            </w:r>
            <w:r>
              <w:rPr>
                <w:rFonts w:hint="eastAsia" w:asciiTheme="majorEastAsia" w:hAnsiTheme="majorEastAsia" w:eastAsiaTheme="majorEastAsia"/>
                <w:sz w:val="18"/>
              </w:rPr>
              <w:t>以下であること。</w:t>
            </w:r>
          </w:p>
        </w:tc>
        <w:tc>
          <w:tcPr>
            <w:tcW w:w="1515" w:type="dxa"/>
            <w:vAlign w:val="top"/>
          </w:tcPr>
          <w:p>
            <w:pPr>
              <w:pStyle w:val="0"/>
              <w:autoSpaceDE w:val="0"/>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1</w:t>
            </w:r>
            <w:r>
              <w:rPr>
                <w:rFonts w:hint="eastAsia" w:asciiTheme="majorEastAsia" w:hAnsiTheme="majorEastAsia" w:eastAsiaTheme="majorEastAsia"/>
                <w:sz w:val="18"/>
              </w:rPr>
              <w:t>時間値の</w:t>
            </w:r>
            <w:r>
              <w:rPr>
                <w:rFonts w:hint="eastAsia" w:asciiTheme="majorEastAsia" w:hAnsiTheme="majorEastAsia" w:eastAsiaTheme="majorEastAsia"/>
                <w:sz w:val="18"/>
              </w:rPr>
              <w:t>1</w:t>
            </w:r>
            <w:r>
              <w:rPr>
                <w:rFonts w:hint="eastAsia" w:asciiTheme="majorEastAsia" w:hAnsiTheme="majorEastAsia" w:eastAsiaTheme="majorEastAsia"/>
                <w:sz w:val="18"/>
              </w:rPr>
              <w:t>日平均値が</w:t>
            </w:r>
            <w:r>
              <w:rPr>
                <w:rFonts w:hint="eastAsia" w:asciiTheme="majorEastAsia" w:hAnsiTheme="majorEastAsia" w:eastAsiaTheme="majorEastAsia"/>
                <w:sz w:val="18"/>
              </w:rPr>
              <w:t>0.04ppm</w:t>
            </w:r>
            <w:r>
              <w:rPr>
                <w:rFonts w:hint="eastAsia" w:asciiTheme="majorEastAsia" w:hAnsiTheme="majorEastAsia" w:eastAsiaTheme="majorEastAsia"/>
                <w:sz w:val="18"/>
              </w:rPr>
              <w:t>から</w:t>
            </w:r>
            <w:r>
              <w:rPr>
                <w:rFonts w:hint="eastAsia" w:asciiTheme="majorEastAsia" w:hAnsiTheme="majorEastAsia" w:eastAsiaTheme="majorEastAsia"/>
                <w:sz w:val="18"/>
              </w:rPr>
              <w:t>0.06ppm</w:t>
            </w:r>
            <w:r>
              <w:rPr>
                <w:rFonts w:hint="eastAsia" w:asciiTheme="majorEastAsia" w:hAnsiTheme="majorEastAsia" w:eastAsiaTheme="majorEastAsia"/>
                <w:sz w:val="18"/>
              </w:rPr>
              <w:t>までのゾーン内又はそれ以下であること。</w:t>
            </w:r>
          </w:p>
        </w:tc>
        <w:tc>
          <w:tcPr>
            <w:tcW w:w="1515" w:type="dxa"/>
            <w:vAlign w:val="top"/>
          </w:tcPr>
          <w:p>
            <w:pPr>
              <w:pStyle w:val="0"/>
              <w:autoSpaceDE w:val="0"/>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1</w:t>
            </w:r>
            <w:r>
              <w:rPr>
                <w:rFonts w:hint="eastAsia" w:asciiTheme="majorEastAsia" w:hAnsiTheme="majorEastAsia" w:eastAsiaTheme="majorEastAsia"/>
                <w:sz w:val="18"/>
              </w:rPr>
              <w:t>時間値の</w:t>
            </w:r>
            <w:r>
              <w:rPr>
                <w:rFonts w:hint="eastAsia" w:asciiTheme="majorEastAsia" w:hAnsiTheme="majorEastAsia" w:eastAsiaTheme="majorEastAsia"/>
                <w:sz w:val="18"/>
              </w:rPr>
              <w:t>1</w:t>
            </w:r>
            <w:r>
              <w:rPr>
                <w:rFonts w:hint="eastAsia" w:asciiTheme="majorEastAsia" w:hAnsiTheme="majorEastAsia" w:eastAsiaTheme="majorEastAsia"/>
                <w:sz w:val="18"/>
              </w:rPr>
              <w:t>日平均値が</w:t>
            </w:r>
            <w:r>
              <w:rPr>
                <w:rFonts w:hint="eastAsia" w:asciiTheme="majorEastAsia" w:hAnsiTheme="majorEastAsia" w:eastAsiaTheme="majorEastAsia"/>
                <w:sz w:val="18"/>
              </w:rPr>
              <w:t>0.10mg/</w:t>
            </w:r>
            <w:r>
              <w:rPr>
                <w:rFonts w:hint="eastAsia" w:asciiTheme="majorEastAsia" w:hAnsiTheme="majorEastAsia" w:eastAsiaTheme="majorEastAsia"/>
                <w:sz w:val="18"/>
              </w:rPr>
              <w:t>㎥以下であり、かつ、１時間値が</w:t>
            </w:r>
            <w:r>
              <w:rPr>
                <w:rFonts w:hint="eastAsia" w:asciiTheme="majorEastAsia" w:hAnsiTheme="majorEastAsia" w:eastAsiaTheme="majorEastAsia"/>
                <w:sz w:val="18"/>
              </w:rPr>
              <w:t>0.20mg/</w:t>
            </w:r>
            <w:r>
              <w:rPr>
                <w:rFonts w:hint="eastAsia" w:asciiTheme="majorEastAsia" w:hAnsiTheme="majorEastAsia" w:eastAsiaTheme="majorEastAsia"/>
                <w:sz w:val="18"/>
              </w:rPr>
              <w:t>㎥以下であること。</w:t>
            </w:r>
          </w:p>
        </w:tc>
        <w:tc>
          <w:tcPr>
            <w:tcW w:w="1515" w:type="dxa"/>
            <w:vAlign w:val="top"/>
          </w:tcPr>
          <w:p>
            <w:pPr>
              <w:pStyle w:val="0"/>
              <w:autoSpaceDE w:val="0"/>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1</w:t>
            </w:r>
            <w:r>
              <w:rPr>
                <w:rFonts w:hint="eastAsia" w:asciiTheme="majorEastAsia" w:hAnsiTheme="majorEastAsia" w:eastAsiaTheme="majorEastAsia"/>
                <w:sz w:val="18"/>
              </w:rPr>
              <w:t>時間値が</w:t>
            </w:r>
          </w:p>
          <w:p>
            <w:pPr>
              <w:pStyle w:val="0"/>
              <w:autoSpaceDE w:val="0"/>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0.06ppm</w:t>
            </w:r>
            <w:r>
              <w:rPr>
                <w:rFonts w:hint="eastAsia" w:asciiTheme="majorEastAsia" w:hAnsiTheme="majorEastAsia" w:eastAsiaTheme="majorEastAsia"/>
                <w:sz w:val="18"/>
              </w:rPr>
              <w:t>以下であること。</w:t>
            </w:r>
          </w:p>
        </w:tc>
        <w:tc>
          <w:tcPr>
            <w:tcW w:w="1515" w:type="dxa"/>
            <w:vAlign w:val="top"/>
          </w:tcPr>
          <w:p>
            <w:pPr>
              <w:pStyle w:val="0"/>
              <w:autoSpaceDE w:val="0"/>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1</w:t>
            </w:r>
            <w:r>
              <w:rPr>
                <w:rFonts w:hint="eastAsia" w:asciiTheme="majorEastAsia" w:hAnsiTheme="majorEastAsia" w:eastAsiaTheme="majorEastAsia"/>
                <w:sz w:val="18"/>
              </w:rPr>
              <w:t>時間値の</w:t>
            </w:r>
            <w:r>
              <w:rPr>
                <w:rFonts w:hint="eastAsia" w:asciiTheme="majorEastAsia" w:hAnsiTheme="majorEastAsia" w:eastAsiaTheme="majorEastAsia"/>
                <w:sz w:val="18"/>
              </w:rPr>
              <w:t>1</w:t>
            </w:r>
            <w:r>
              <w:rPr>
                <w:rFonts w:hint="eastAsia" w:asciiTheme="majorEastAsia" w:hAnsiTheme="majorEastAsia" w:eastAsiaTheme="majorEastAsia"/>
                <w:sz w:val="18"/>
              </w:rPr>
              <w:t>日平均値が</w:t>
            </w:r>
            <w:r>
              <w:rPr>
                <w:rFonts w:hint="eastAsia" w:asciiTheme="majorEastAsia" w:hAnsiTheme="majorEastAsia" w:eastAsiaTheme="majorEastAsia"/>
                <w:sz w:val="18"/>
              </w:rPr>
              <w:t>10ppm</w:t>
            </w:r>
            <w:r>
              <w:rPr>
                <w:rFonts w:hint="eastAsia" w:asciiTheme="majorEastAsia" w:hAnsiTheme="majorEastAsia" w:eastAsiaTheme="majorEastAsia"/>
                <w:sz w:val="18"/>
              </w:rPr>
              <w:t>以下であり、かつ、</w:t>
            </w:r>
            <w:r>
              <w:rPr>
                <w:rFonts w:hint="eastAsia" w:asciiTheme="majorEastAsia" w:hAnsiTheme="majorEastAsia" w:eastAsiaTheme="majorEastAsia"/>
                <w:sz w:val="18"/>
              </w:rPr>
              <w:t>1</w:t>
            </w:r>
            <w:r>
              <w:rPr>
                <w:rFonts w:hint="eastAsia" w:asciiTheme="majorEastAsia" w:hAnsiTheme="majorEastAsia" w:eastAsiaTheme="majorEastAsia"/>
                <w:sz w:val="18"/>
              </w:rPr>
              <w:t>時間値の</w:t>
            </w:r>
            <w:r>
              <w:rPr>
                <w:rFonts w:hint="eastAsia" w:asciiTheme="majorEastAsia" w:hAnsiTheme="majorEastAsia" w:eastAsiaTheme="majorEastAsia"/>
                <w:sz w:val="18"/>
              </w:rPr>
              <w:t>8</w:t>
            </w:r>
            <w:r>
              <w:rPr>
                <w:rFonts w:hint="eastAsia" w:asciiTheme="majorEastAsia" w:hAnsiTheme="majorEastAsia" w:eastAsiaTheme="majorEastAsia"/>
                <w:sz w:val="18"/>
              </w:rPr>
              <w:t>時間平均値が</w:t>
            </w:r>
            <w:r>
              <w:rPr>
                <w:rFonts w:hint="eastAsia" w:asciiTheme="majorEastAsia" w:hAnsiTheme="majorEastAsia" w:eastAsiaTheme="majorEastAsia"/>
                <w:sz w:val="18"/>
              </w:rPr>
              <w:t>20ppm</w:t>
            </w:r>
            <w:r>
              <w:rPr>
                <w:rFonts w:hint="eastAsia" w:asciiTheme="majorEastAsia" w:hAnsiTheme="majorEastAsia" w:eastAsiaTheme="majorEastAsia"/>
                <w:sz w:val="18"/>
              </w:rPr>
              <w:t>以下であること。</w:t>
            </w:r>
          </w:p>
        </w:tc>
      </w:tr>
    </w:tbl>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sz w:val="22"/>
        </w:rPr>
      </w:pPr>
    </w:p>
    <w:p>
      <w:pPr>
        <w:pStyle w:val="28"/>
        <w:widowControl w:val="1"/>
        <w:numPr>
          <w:numId w:val="0"/>
        </w:numPr>
        <w:ind w:left="0" w:leftChars="0" w:firstLine="440" w:firstLineChars="2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①二酸化硫黄（</w:t>
      </w:r>
      <w:r>
        <w:rPr>
          <w:rFonts w:hint="eastAsia" w:ascii="HG丸ｺﾞｼｯｸM-PRO" w:hAnsi="HG丸ｺﾞｼｯｸM-PRO" w:eastAsia="HG丸ｺﾞｼｯｸM-PRO"/>
          <w:sz w:val="22"/>
        </w:rPr>
        <w:t>SO</w:t>
      </w:r>
      <w:r>
        <w:rPr>
          <w:rFonts w:hint="eastAsia" w:ascii="HG丸ｺﾞｼｯｸM-PRO" w:hAnsi="HG丸ｺﾞｼｯｸM-PRO" w:eastAsia="HG丸ｺﾞｼｯｸM-PRO"/>
          <w:sz w:val="22"/>
          <w:vertAlign w:val="subscript"/>
        </w:rPr>
        <w:t>２</w:t>
      </w:r>
      <w:r>
        <w:rPr>
          <w:rFonts w:hint="eastAsia" w:ascii="HG丸ｺﾞｼｯｸM-PRO" w:hAnsi="HG丸ｺﾞｼｯｸM-PRO" w:eastAsia="HG丸ｺﾞｼｯｸM-PRO"/>
          <w:sz w:val="22"/>
        </w:rPr>
        <w:t>）</w:t>
      </w:r>
    </w:p>
    <w:p>
      <w:pPr>
        <w:pStyle w:val="0"/>
        <w:ind w:left="630" w:leftChars="3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硫黄や硫黄化合物を燃やすと発生する気体で、粘膜を冒し、有毒である。石炭、石油燃焼後の排ガスに含まれ、公害の原因の一つである。</w:t>
      </w:r>
    </w:p>
    <w:p>
      <w:pPr>
        <w:pStyle w:val="0"/>
        <w:ind w:left="630" w:leftChars="300" w:firstLine="210" w:firstLineChars="100"/>
        <w:jc w:val="center"/>
        <w:rPr>
          <w:rFonts w:hint="default" w:ascii="HG丸ｺﾞｼｯｸM-PRO" w:hAnsi="HG丸ｺﾞｼｯｸM-PRO" w:eastAsia="HG丸ｺﾞｼｯｸM-PRO"/>
        </w:rPr>
      </w:pPr>
      <w:r>
        <w:rPr>
          <w:rFonts w:hint="eastAsia"/>
        </w:rPr>
        <w:drawing>
          <wp:inline distT="0" distB="0" distL="203200" distR="203200">
            <wp:extent cx="5267960" cy="2895600"/>
            <wp:effectExtent l="0" t="0" r="0" b="0"/>
            <wp:docPr id="1088" name="オブジェクト 0"/>
            <a:graphic xmlns:a="http://schemas.openxmlformats.org/drawingml/2006/main">
              <a:graphicData uri="http://schemas.openxmlformats.org/drawingml/2006/picture">
                <pic:pic xmlns:pic="http://schemas.openxmlformats.org/drawingml/2006/picture">
                  <pic:nvPicPr>
                    <pic:cNvPr id="1088" name="オブジェクト 0"/>
                    <pic:cNvPicPr>
                      <a:picLocks noChangeAspect="1"/>
                    </pic:cNvPicPr>
                  </pic:nvPicPr>
                  <pic:blipFill>
                    <a:blip r:embed="rId35"/>
                    <a:stretch>
                      <a:fillRect/>
                    </a:stretch>
                  </pic:blipFill>
                  <pic:spPr>
                    <a:xfrm>
                      <a:off x="0" y="0"/>
                      <a:ext cx="5267960" cy="2895600"/>
                    </a:xfrm>
                    <a:prstGeom prst="rect">
                      <a:avLst/>
                    </a:prstGeom>
                  </pic:spPr>
                </pic:pic>
              </a:graphicData>
            </a:graphic>
          </wp:inline>
        </w:drawing>
      </w:r>
    </w:p>
    <w:p>
      <w:pPr>
        <w:pStyle w:val="0"/>
        <w:ind w:left="630" w:leftChars="300" w:firstLine="210" w:firstLineChars="100"/>
        <w:jc w:val="center"/>
        <w:rPr>
          <w:rFonts w:hint="default" w:ascii="HG丸ｺﾞｼｯｸM-PRO" w:hAnsi="HG丸ｺﾞｼｯｸM-PRO" w:eastAsia="HG丸ｺﾞｼｯｸM-PRO"/>
        </w:rPr>
      </w:pPr>
    </w:p>
    <w:p>
      <w:pPr>
        <w:pStyle w:val="0"/>
        <w:ind w:left="630" w:leftChars="300" w:firstLine="210" w:firstLineChars="100"/>
        <w:jc w:val="center"/>
        <w:rPr>
          <w:rFonts w:hint="default" w:ascii="HG丸ｺﾞｼｯｸM-PRO" w:hAnsi="HG丸ｺﾞｼｯｸM-PRO" w:eastAsia="HG丸ｺﾞｼｯｸM-PRO"/>
        </w:rPr>
      </w:pPr>
      <w:r>
        <w:rPr>
          <w:rFonts w:hint="eastAsia" w:ascii="HG丸ｺﾞｼｯｸM-PRO" w:hAnsi="HG丸ｺﾞｼｯｸM-PRO" w:eastAsia="HG丸ｺﾞｼｯｸM-PRO"/>
        </w:rPr>
        <mc:AlternateContent>
          <mc:Choice Requires="wps">
            <w:drawing>
              <wp:anchor distT="0" distB="0" distL="114300" distR="114300" simplePos="0" relativeHeight="49" behindDoc="0" locked="0" layoutInCell="1" hidden="0" allowOverlap="1">
                <wp:simplePos x="0" y="0"/>
                <wp:positionH relativeFrom="column">
                  <wp:posOffset>166370</wp:posOffset>
                </wp:positionH>
                <wp:positionV relativeFrom="paragraph">
                  <wp:posOffset>153670</wp:posOffset>
                </wp:positionV>
                <wp:extent cx="5695950" cy="790575"/>
                <wp:effectExtent l="635" t="635" r="29845" b="10795"/>
                <wp:wrapNone/>
                <wp:docPr id="1089" name="正方形/長方形 4"/>
                <a:graphic xmlns:a="http://schemas.openxmlformats.org/drawingml/2006/main">
                  <a:graphicData uri="http://schemas.microsoft.com/office/word/2010/wordprocessingShape">
                    <wps:wsp>
                      <wps:cNvPr id="1089" name="正方形/長方形 4"/>
                      <wps:cNvSpPr/>
                      <wps:spPr>
                        <a:xfrm>
                          <a:off x="0" y="0"/>
                          <a:ext cx="5695950" cy="790575"/>
                        </a:xfrm>
                        <a:prstGeom prst="rect">
                          <a:avLst/>
                        </a:prstGeom>
                        <a:noFill/>
                        <a:ln w="12700" cap="flat" cmpd="sng" algn="ctr">
                          <a:solidFill>
                            <a:sysClr val="windowText" lastClr="000000"/>
                          </a:solidFill>
                          <a:prstDash val="sysDash"/>
                        </a:ln>
                        <a:effectLst/>
                      </wps:spPr>
                      <wps:bodyPr/>
                    </wps:wsp>
                  </a:graphicData>
                </a:graphic>
              </wp:anchor>
            </w:drawing>
          </mc:Choice>
          <mc:Fallback>
            <w:pict>
              <v:rect id="正方形/長方形 4" style="mso-wrap-distance-right:9pt;mso-wrap-distance-bottom:0pt;margin-top:12.1pt;mso-position-vertical-relative:text;mso-position-horizontal-relative:text;position:absolute;height:62.25pt;mso-wrap-distance-top:0pt;width:448.5pt;mso-wrap-distance-left:9pt;margin-left:13.1pt;z-index:49;" o:spid="_x0000_s1089" o:allowincell="t" o:allowoverlap="t" filled="f" stroked="t" strokecolor="#000000" strokeweight="1pt" o:spt="1">
                <v:fill/>
                <v:stroke linestyle="single" endcap="flat" dashstyle="shortdash" filltype="solid"/>
                <v:textbox style="layout-flow:horizontal;"/>
                <v:imagedata o:title=""/>
                <w10:wrap type="none" anchorx="text" anchory="text"/>
              </v:rect>
            </w:pict>
          </mc:Fallback>
        </mc:AlternateContent>
      </w:r>
    </w:p>
    <w:p>
      <w:pPr>
        <w:pStyle w:val="0"/>
        <w:ind w:firstLine="630" w:firstLineChars="3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※日平均値の２％除外値</w:t>
      </w:r>
    </w:p>
    <w:p>
      <w:pPr>
        <w:pStyle w:val="0"/>
        <w:ind w:left="840" w:hanging="840" w:hangingChars="400"/>
        <w:rPr>
          <w:rFonts w:hint="default" w:ascii="HG丸ｺﾞｼｯｸM-PRO" w:hAnsi="HG丸ｺﾞｼｯｸM-PRO" w:eastAsia="HG丸ｺﾞｼｯｸM-PRO"/>
        </w:rPr>
      </w:pPr>
      <w:r>
        <w:rPr>
          <w:rFonts w:hint="eastAsia" w:ascii="HG丸ｺﾞｼｯｸM-PRO" w:hAnsi="HG丸ｺﾞｼｯｸM-PRO" w:eastAsia="HG丸ｺﾞｼｯｸM-PRO"/>
        </w:rPr>
        <w:t>　　　　１年間を通じて得られた日平均値のうち、測定値の高い方から２％の範囲内にあるものを除外した日平均値のこと。</w:t>
      </w:r>
    </w:p>
    <w:p>
      <w:pPr>
        <w:pStyle w:val="0"/>
        <w:ind w:left="0" w:leftChars="0" w:hanging="1050" w:hangingChars="500"/>
        <w:rPr>
          <w:rFonts w:hint="default" w:ascii="HG丸ｺﾞｼｯｸM-PRO" w:hAnsi="HG丸ｺﾞｼｯｸM-PRO" w:eastAsia="HG丸ｺﾞｼｯｸM-PRO"/>
          <w:sz w:val="22"/>
        </w:rPr>
      </w:pPr>
      <w:r>
        <w:rPr>
          <w:rFonts w:hint="eastAsia"/>
        </w:rPr>
        <w:br w:type="page"/>
      </w:r>
      <w:r>
        <w:rPr>
          <w:rFonts w:hint="eastAsia" w:ascii="HG丸ｺﾞｼｯｸM-PRO" w:hAnsi="HG丸ｺﾞｼｯｸM-PRO" w:eastAsia="HG丸ｺﾞｼｯｸM-PRO"/>
          <w:color w:val="FFFFFF" w:themeColor="background1"/>
          <w:sz w:val="22"/>
        </w:rPr>
        <w:t>ああ</w:t>
      </w:r>
      <w:r>
        <w:rPr>
          <w:rFonts w:hint="eastAsia" w:ascii="HG丸ｺﾞｼｯｸM-PRO" w:hAnsi="HG丸ｺﾞｼｯｸM-PRO" w:eastAsia="HG丸ｺﾞｼｯｸM-PRO"/>
          <w:sz w:val="22"/>
        </w:rPr>
        <w:t>②二酸化窒素（</w:t>
      </w:r>
      <w:r>
        <w:rPr>
          <w:rFonts w:hint="eastAsia" w:ascii="HG丸ｺﾞｼｯｸM-PRO" w:hAnsi="HG丸ｺﾞｼｯｸM-PRO" w:eastAsia="HG丸ｺﾞｼｯｸM-PRO"/>
          <w:sz w:val="22"/>
        </w:rPr>
        <w:t>NO</w:t>
      </w:r>
      <w:r>
        <w:rPr>
          <w:rFonts w:hint="eastAsia" w:ascii="HG丸ｺﾞｼｯｸM-PRO" w:hAnsi="HG丸ｺﾞｼｯｸM-PRO" w:eastAsia="HG丸ｺﾞｼｯｸM-PRO"/>
          <w:sz w:val="22"/>
          <w:vertAlign w:val="subscript"/>
        </w:rPr>
        <w:t>2</w:t>
      </w:r>
      <w:r>
        <w:rPr>
          <w:rFonts w:hint="eastAsia" w:ascii="HG丸ｺﾞｼｯｸM-PRO" w:hAnsi="HG丸ｺﾞｼｯｸM-PRO" w:eastAsia="HG丸ｺﾞｼｯｸM-PRO"/>
          <w:sz w:val="22"/>
        </w:rPr>
        <w:t>）</w:t>
      </w:r>
    </w:p>
    <w:p>
      <w:pPr>
        <w:pStyle w:val="0"/>
        <w:ind w:left="630" w:leftChars="300" w:firstLine="210" w:firstLine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一酸化窒素が酸素に触れると生成する赤褐色の気体である。自動車のエンジンなどから副生され、大気汚染の原因となる。</w:t>
      </w:r>
    </w:p>
    <w:p>
      <w:pPr>
        <w:pStyle w:val="0"/>
        <w:ind w:left="630" w:leftChars="300" w:firstLine="210" w:firstLineChars="100"/>
        <w:jc w:val="center"/>
        <w:rPr>
          <w:rFonts w:hint="default" w:ascii="HG丸ｺﾞｼｯｸM-PRO" w:hAnsi="HG丸ｺﾞｼｯｸM-PRO" w:eastAsia="HG丸ｺﾞｼｯｸM-PRO"/>
        </w:rPr>
      </w:pPr>
      <w:r>
        <w:rPr>
          <w:rFonts w:hint="eastAsia"/>
        </w:rPr>
        <w:drawing>
          <wp:inline distT="0" distB="0" distL="203200" distR="203200">
            <wp:extent cx="5248910" cy="2743200"/>
            <wp:effectExtent l="0" t="0" r="0" b="0"/>
            <wp:docPr id="1090" name="オブジェクト 0"/>
            <a:graphic xmlns:a="http://schemas.openxmlformats.org/drawingml/2006/main">
              <a:graphicData uri="http://schemas.openxmlformats.org/drawingml/2006/picture">
                <pic:pic xmlns:pic="http://schemas.openxmlformats.org/drawingml/2006/picture">
                  <pic:nvPicPr>
                    <pic:cNvPr id="1090" name="オブジェクト 0"/>
                    <pic:cNvPicPr>
                      <a:picLocks noChangeAspect="1"/>
                    </pic:cNvPicPr>
                  </pic:nvPicPr>
                  <pic:blipFill>
                    <a:blip r:embed="rId36"/>
                    <a:stretch>
                      <a:fillRect/>
                    </a:stretch>
                  </pic:blipFill>
                  <pic:spPr>
                    <a:xfrm>
                      <a:off x="0" y="0"/>
                      <a:ext cx="5248910" cy="2743200"/>
                    </a:xfrm>
                    <a:prstGeom prst="rect">
                      <a:avLst/>
                    </a:prstGeom>
                  </pic:spPr>
                </pic:pic>
              </a:graphicData>
            </a:graphic>
          </wp:inline>
        </w:drawing>
      </w:r>
    </w:p>
    <w:p>
      <w:pPr>
        <w:pStyle w:val="0"/>
        <w:ind w:firstLine="420" w:firstLineChars="200"/>
        <w:rPr>
          <w:rFonts w:hint="default" w:ascii="HG丸ｺﾞｼｯｸM-PRO" w:hAnsi="HG丸ｺﾞｼｯｸM-PRO" w:eastAsia="HG丸ｺﾞｼｯｸM-PRO"/>
          <w:sz w:val="22"/>
          <w:bdr w:val="single" w:color="auto" w:sz="4" w:space="0"/>
        </w:rPr>
      </w:pPr>
      <w:r>
        <w:rPr>
          <w:rFonts w:hint="eastAsia" w:ascii="HG丸ｺﾞｼｯｸM-PRO" w:hAnsi="HG丸ｺﾞｼｯｸM-PRO" w:eastAsia="HG丸ｺﾞｼｯｸM-PRO"/>
        </w:rPr>
        <mc:AlternateContent>
          <mc:Choice Requires="wps">
            <w:drawing>
              <wp:anchor distT="0" distB="0" distL="114300" distR="114300" simplePos="0" relativeHeight="50" behindDoc="0" locked="0" layoutInCell="1" hidden="0" allowOverlap="1">
                <wp:simplePos x="0" y="0"/>
                <wp:positionH relativeFrom="column">
                  <wp:posOffset>185420</wp:posOffset>
                </wp:positionH>
                <wp:positionV relativeFrom="paragraph">
                  <wp:posOffset>156210</wp:posOffset>
                </wp:positionV>
                <wp:extent cx="5686425" cy="866775"/>
                <wp:effectExtent l="635" t="635" r="29845" b="10795"/>
                <wp:wrapNone/>
                <wp:docPr id="1091" name="正方形/長方形 5"/>
                <a:graphic xmlns:a="http://schemas.openxmlformats.org/drawingml/2006/main">
                  <a:graphicData uri="http://schemas.microsoft.com/office/word/2010/wordprocessingShape">
                    <wps:wsp>
                      <wps:cNvPr id="1091" name="正方形/長方形 5"/>
                      <wps:cNvSpPr/>
                      <wps:spPr>
                        <a:xfrm>
                          <a:off x="0" y="0"/>
                          <a:ext cx="5686425" cy="866775"/>
                        </a:xfrm>
                        <a:prstGeom prst="rect">
                          <a:avLst/>
                        </a:prstGeom>
                        <a:noFill/>
                        <a:ln w="12700" cap="flat" cmpd="sng" algn="ctr">
                          <a:solidFill>
                            <a:sysClr val="windowText" lastClr="000000"/>
                          </a:solidFill>
                          <a:prstDash val="sysDash"/>
                        </a:ln>
                        <a:effectLst/>
                      </wps:spPr>
                      <wps:bodyPr/>
                    </wps:wsp>
                  </a:graphicData>
                </a:graphic>
              </wp:anchor>
            </w:drawing>
          </mc:Choice>
          <mc:Fallback>
            <w:pict>
              <v:rect id="正方形/長方形 5" style="mso-wrap-distance-right:9pt;mso-wrap-distance-bottom:0pt;margin-top:12.3pt;mso-position-vertical-relative:text;mso-position-horizontal-relative:text;position:absolute;height:68.25pt;mso-wrap-distance-top:0pt;width:447.75pt;mso-wrap-distance-left:9pt;margin-left:14.6pt;z-index:50;" o:spid="_x0000_s1091" o:allowincell="t" o:allowoverlap="t" filled="f" stroked="t" strokecolor="#000000" strokeweight="1pt" o:spt="1">
                <v:fill/>
                <v:stroke linestyle="single" endcap="flat" dashstyle="shortdash" filltype="solid"/>
                <v:textbox style="layout-flow:horizontal;"/>
                <v:imagedata o:title=""/>
                <w10:wrap type="none" anchorx="text" anchory="text"/>
              </v:rect>
            </w:pict>
          </mc:Fallback>
        </mc:AlternateContent>
      </w:r>
    </w:p>
    <w:p>
      <w:pPr>
        <w:pStyle w:val="0"/>
        <w:ind w:firstLine="630" w:firstLineChars="300"/>
        <w:rPr>
          <w:rFonts w:hint="default" w:ascii="HG丸ｺﾞｼｯｸM-PRO" w:hAnsi="HG丸ｺﾞｼｯｸM-PRO" w:eastAsia="HG丸ｺﾞｼｯｸM-PRO"/>
        </w:rPr>
      </w:pPr>
      <w:r>
        <w:rPr>
          <w:rFonts w:hint="eastAsia" w:ascii="HG丸ｺﾞｼｯｸM-PRO" w:hAnsi="HG丸ｺﾞｼｯｸM-PRO" w:eastAsia="HG丸ｺﾞｼｯｸM-PRO"/>
        </w:rPr>
        <w:t>※日平均値の年間</w:t>
      </w:r>
      <w:r>
        <w:rPr>
          <w:rFonts w:hint="eastAsia" w:ascii="HG丸ｺﾞｼｯｸM-PRO" w:hAnsi="HG丸ｺﾞｼｯｸM-PRO" w:eastAsia="HG丸ｺﾞｼｯｸM-PRO"/>
        </w:rPr>
        <w:t>98</w:t>
      </w:r>
      <w:r>
        <w:rPr>
          <w:rFonts w:hint="eastAsia" w:ascii="HG丸ｺﾞｼｯｸM-PRO" w:hAnsi="HG丸ｺﾞｼｯｸM-PRO" w:eastAsia="HG丸ｺﾞｼｯｸM-PRO"/>
        </w:rPr>
        <w:t>％値</w:t>
      </w:r>
    </w:p>
    <w:p>
      <w:pPr>
        <w:pStyle w:val="0"/>
        <w:ind w:left="840" w:leftChars="200" w:hanging="420" w:hangingChars="200"/>
        <w:rPr>
          <w:rFonts w:hint="default" w:ascii="HG丸ｺﾞｼｯｸM-PRO" w:hAnsi="HG丸ｺﾞｼｯｸM-PRO" w:eastAsia="HG丸ｺﾞｼｯｸM-PRO"/>
          <w:bdr w:val="single" w:color="auto" w:sz="4" w:space="0"/>
        </w:rPr>
      </w:pPr>
      <w:r>
        <w:rPr>
          <w:rFonts w:hint="eastAsia" w:ascii="HG丸ｺﾞｼｯｸM-PRO" w:hAnsi="HG丸ｺﾞｼｯｸM-PRO" w:eastAsia="HG丸ｺﾞｼｯｸM-PRO"/>
        </w:rPr>
        <w:t>　　</w:t>
      </w:r>
      <w:r>
        <w:rPr>
          <w:rFonts w:hint="eastAsia" w:ascii="HG丸ｺﾞｼｯｸM-PRO" w:hAnsi="HG丸ｺﾞｼｯｸM-PRO" w:eastAsia="HG丸ｺﾞｼｯｸM-PRO"/>
        </w:rPr>
        <w:t>1</w:t>
      </w:r>
      <w:r>
        <w:rPr>
          <w:rFonts w:hint="eastAsia" w:ascii="HG丸ｺﾞｼｯｸM-PRO" w:hAnsi="HG丸ｺﾞｼｯｸM-PRO" w:eastAsia="HG丸ｺﾞｼｯｸM-PRO"/>
        </w:rPr>
        <w:t>年間を通じて得られた日平均値のうち、低い方から数えて</w:t>
      </w:r>
      <w:r>
        <w:rPr>
          <w:rFonts w:hint="eastAsia" w:ascii="HG丸ｺﾞｼｯｸM-PRO" w:hAnsi="HG丸ｺﾞｼｯｸM-PRO" w:eastAsia="HG丸ｺﾞｼｯｸM-PRO"/>
        </w:rPr>
        <w:t>98</w:t>
      </w:r>
      <w:r>
        <w:rPr>
          <w:rFonts w:hint="eastAsia" w:ascii="HG丸ｺﾞｼｯｸM-PRO" w:hAnsi="HG丸ｺﾞｼｯｸM-PRO" w:eastAsia="HG丸ｺﾞｼｯｸM-PRO"/>
        </w:rPr>
        <w:t>％目に当たる日平均値のこと。</w:t>
      </w:r>
    </w:p>
    <w:p>
      <w:pPr>
        <w:pStyle w:val="0"/>
        <w:ind w:firstLine="440" w:firstLineChars="200"/>
        <w:rPr>
          <w:rFonts w:hint="default" w:ascii="HG丸ｺﾞｼｯｸM-PRO" w:hAnsi="HG丸ｺﾞｼｯｸM-PRO" w:eastAsia="HG丸ｺﾞｼｯｸM-PRO"/>
          <w:sz w:val="22"/>
          <w:bdr w:val="single" w:color="auto" w:sz="4" w:space="0"/>
        </w:rPr>
      </w:pPr>
    </w:p>
    <w:p>
      <w:pPr>
        <w:pStyle w:val="0"/>
        <w:ind w:firstLine="440" w:firstLineChars="200"/>
        <w:rPr>
          <w:rFonts w:hint="default" w:ascii="HG丸ｺﾞｼｯｸM-PRO" w:hAnsi="HG丸ｺﾞｼｯｸM-PRO" w:eastAsia="HG丸ｺﾞｼｯｸM-PRO"/>
          <w:sz w:val="22"/>
          <w:bdr w:val="single" w:color="auto" w:sz="4" w:space="0"/>
        </w:rPr>
      </w:pPr>
    </w:p>
    <w:p>
      <w:pPr>
        <w:pStyle w:val="28"/>
        <w:widowControl w:val="1"/>
        <w:numPr>
          <w:numId w:val="0"/>
        </w:numPr>
        <w:ind w:left="0" w:leftChars="0" w:firstLine="440" w:firstLineChars="2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③浮遊粒子状物質（</w:t>
      </w:r>
      <w:r>
        <w:rPr>
          <w:rFonts w:hint="eastAsia" w:ascii="HG丸ｺﾞｼｯｸM-PRO" w:hAnsi="HG丸ｺﾞｼｯｸM-PRO" w:eastAsia="HG丸ｺﾞｼｯｸM-PRO"/>
          <w:sz w:val="22"/>
        </w:rPr>
        <w:t>SPM</w:t>
      </w:r>
      <w:r>
        <w:rPr>
          <w:rFonts w:hint="eastAsia" w:ascii="HG丸ｺﾞｼｯｸM-PRO" w:hAnsi="HG丸ｺﾞｼｯｸM-PRO" w:eastAsia="HG丸ｺﾞｼｯｸM-PRO"/>
          <w:sz w:val="22"/>
        </w:rPr>
        <w:t>）</w:t>
      </w:r>
    </w:p>
    <w:p>
      <w:pPr>
        <w:pStyle w:val="0"/>
        <w:ind w:left="630" w:leftChars="300" w:firstLine="210" w:firstLine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空中に浮遊する細かな粒子状の物質で、代表的な大気汚染物質の一つ。原因は土粒子など自然由来及び人口由来の両方であり、いずれも呼吸器系の各部位へ沈着し、人の健康に影響を及ぼす</w:t>
      </w:r>
      <w:r>
        <w:rPr>
          <w:rFonts w:hint="eastAsia"/>
        </w:rPr>
        <w:drawing>
          <wp:inline distT="0" distB="0" distL="203200" distR="203200">
            <wp:extent cx="5191760" cy="2800350"/>
            <wp:effectExtent l="0" t="0" r="0" b="0"/>
            <wp:docPr id="1092" name="オブジェクト 0"/>
            <a:graphic xmlns:a="http://schemas.openxmlformats.org/drawingml/2006/main">
              <a:graphicData uri="http://schemas.openxmlformats.org/drawingml/2006/picture">
                <pic:pic xmlns:pic="http://schemas.openxmlformats.org/drawingml/2006/picture">
                  <pic:nvPicPr>
                    <pic:cNvPr id="1092" name="オブジェクト 0"/>
                    <pic:cNvPicPr>
                      <a:picLocks noChangeAspect="1"/>
                    </pic:cNvPicPr>
                  </pic:nvPicPr>
                  <pic:blipFill>
                    <a:blip r:embed="rId37"/>
                    <a:stretch>
                      <a:fillRect/>
                    </a:stretch>
                  </pic:blipFill>
                  <pic:spPr>
                    <a:xfrm>
                      <a:off x="0" y="0"/>
                      <a:ext cx="5191760" cy="2800350"/>
                    </a:xfrm>
                    <a:prstGeom prst="rect">
                      <a:avLst/>
                    </a:prstGeom>
                  </pic:spPr>
                </pic:pic>
              </a:graphicData>
            </a:graphic>
          </wp:inline>
        </w:drawing>
      </w:r>
    </w:p>
    <w:p>
      <w:pPr>
        <w:pStyle w:val="0"/>
        <w:ind w:left="630" w:leftChars="300" w:firstLine="210" w:firstLineChars="100"/>
        <w:jc w:val="left"/>
        <w:rPr>
          <w:rFonts w:hint="default" w:ascii="HG丸ｺﾞｼｯｸM-PRO" w:hAnsi="HG丸ｺﾞｼｯｸM-PRO" w:eastAsia="HG丸ｺﾞｼｯｸM-PRO"/>
        </w:rPr>
      </w:pPr>
    </w:p>
    <w:p>
      <w:pPr>
        <w:pStyle w:val="28"/>
        <w:widowControl w:val="1"/>
        <w:numPr>
          <w:numId w:val="0"/>
        </w:numPr>
        <w:ind w:left="0" w:leftChars="0" w:firstLine="440" w:firstLineChars="20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④光化学オキシダント（</w:t>
      </w:r>
      <w:r>
        <w:rPr>
          <w:rFonts w:hint="eastAsia" w:ascii="HG丸ｺﾞｼｯｸM-PRO" w:hAnsi="HG丸ｺﾞｼｯｸM-PRO" w:eastAsia="HG丸ｺﾞｼｯｸM-PRO"/>
          <w:sz w:val="22"/>
        </w:rPr>
        <w:t>O</w:t>
      </w:r>
      <w:r>
        <w:rPr>
          <w:rFonts w:hint="eastAsia" w:ascii="HG丸ｺﾞｼｯｸM-PRO" w:hAnsi="HG丸ｺﾞｼｯｸM-PRO" w:eastAsia="HG丸ｺﾞｼｯｸM-PRO"/>
          <w:sz w:val="24"/>
          <w:vertAlign w:val="subscript"/>
        </w:rPr>
        <w:t>ｘ</w:t>
      </w:r>
      <w:r>
        <w:rPr>
          <w:rFonts w:hint="eastAsia" w:ascii="HG丸ｺﾞｼｯｸM-PRO" w:hAnsi="HG丸ｺﾞｼｯｸM-PRO" w:eastAsia="HG丸ｺﾞｼｯｸM-PRO"/>
          <w:sz w:val="22"/>
        </w:rPr>
        <w:t>）</w:t>
      </w:r>
    </w:p>
    <w:p>
      <w:pPr>
        <w:pStyle w:val="0"/>
        <w:ind w:left="630" w:leftChars="300" w:firstLine="210" w:firstLineChars="1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工場や自動車から排出された炭化水素（揮発性有機化合物等）や窒素酸化物が、太陽の強い紫外線の作用を受けて化学反応することにより生成される酸化生物質（オゾン、パーオキシアセチルナイトレートなど）の総称。粘膜への刺激、呼吸への影響といった健康影響のほか、農作物などへも影響を与える。</w:t>
      </w:r>
    </w:p>
    <w:p>
      <w:pPr>
        <w:pStyle w:val="0"/>
        <w:ind w:left="630" w:leftChars="300" w:firstLine="210" w:firstLineChars="100"/>
        <w:jc w:val="left"/>
        <w:rPr>
          <w:rFonts w:hint="default" w:ascii="HG丸ｺﾞｼｯｸM-PRO" w:hAnsi="HG丸ｺﾞｼｯｸM-PRO" w:eastAsia="HG丸ｺﾞｼｯｸM-PRO"/>
        </w:rPr>
      </w:pPr>
    </w:p>
    <w:p>
      <w:pPr>
        <w:pStyle w:val="0"/>
        <w:ind w:left="630" w:leftChars="300" w:firstLine="210" w:firstLineChars="100"/>
        <w:jc w:val="left"/>
        <w:rPr>
          <w:rFonts w:hint="default" w:ascii="HG丸ｺﾞｼｯｸM-PRO" w:hAnsi="HG丸ｺﾞｼｯｸM-PRO" w:eastAsia="HG丸ｺﾞｼｯｸM-PRO"/>
        </w:rPr>
      </w:pPr>
      <w:r>
        <w:rPr>
          <w:rFonts w:hint="eastAsia"/>
        </w:rPr>
        <w:drawing>
          <wp:inline distT="0" distB="0" distL="203200" distR="203200">
            <wp:extent cx="5759450" cy="2921635"/>
            <wp:effectExtent l="0" t="0" r="0" b="0"/>
            <wp:docPr id="1093" name="オブジェクト 0"/>
            <a:graphic xmlns:a="http://schemas.openxmlformats.org/drawingml/2006/main">
              <a:graphicData uri="http://schemas.openxmlformats.org/drawingml/2006/picture">
                <pic:pic xmlns:pic="http://schemas.openxmlformats.org/drawingml/2006/picture">
                  <pic:nvPicPr>
                    <pic:cNvPr id="1093" name="オブジェクト 0"/>
                    <pic:cNvPicPr>
                      <a:picLocks noChangeAspect="1"/>
                    </pic:cNvPicPr>
                  </pic:nvPicPr>
                  <pic:blipFill>
                    <a:blip r:embed="rId38"/>
                    <a:stretch>
                      <a:fillRect/>
                    </a:stretch>
                  </pic:blipFill>
                  <pic:spPr>
                    <a:xfrm>
                      <a:off x="0" y="0"/>
                      <a:ext cx="5759450" cy="2921635"/>
                    </a:xfrm>
                    <a:prstGeom prst="rect">
                      <a:avLst/>
                    </a:prstGeom>
                  </pic:spPr>
                </pic:pic>
              </a:graphicData>
            </a:graphic>
          </wp:inline>
        </w:drawing>
      </w:r>
    </w:p>
    <w:p>
      <w:pPr>
        <w:pStyle w:val="0"/>
        <w:ind w:left="630" w:leftChars="300" w:firstLine="210" w:firstLineChars="100"/>
        <w:jc w:val="center"/>
        <w:rPr>
          <w:rFonts w:hint="default" w:ascii="HG丸ｺﾞｼｯｸM-PRO" w:hAnsi="HG丸ｺﾞｼｯｸM-PRO" w:eastAsia="HG丸ｺﾞｼｯｸM-PRO"/>
        </w:rPr>
      </w:pPr>
    </w:p>
    <w:p>
      <w:pPr>
        <w:pStyle w:val="0"/>
        <w:jc w:val="left"/>
        <w:rPr>
          <w:rFonts w:hint="default" w:ascii="HG丸ｺﾞｼｯｸM-PRO" w:hAnsi="HG丸ｺﾞｼｯｸM-PRO" w:eastAsia="HG丸ｺﾞｼｯｸM-PRO"/>
          <w:sz w:val="22"/>
        </w:rPr>
      </w:pPr>
    </w:p>
    <w:p>
      <w:pPr>
        <w:pStyle w:val="0"/>
        <w:jc w:val="left"/>
        <w:rPr>
          <w:rFonts w:hint="default" w:ascii="HG丸ｺﾞｼｯｸM-PRO" w:hAnsi="HG丸ｺﾞｼｯｸM-PRO" w:eastAsia="HG丸ｺﾞｼｯｸM-PRO"/>
          <w:sz w:val="22"/>
        </w:rPr>
      </w:pPr>
      <w:r>
        <w:rPr>
          <w:rFonts w:hint="default" w:ascii="HG丸ｺﾞｼｯｸM-PRO" w:hAnsi="HG丸ｺﾞｼｯｸM-PRO" w:eastAsia="HG丸ｺﾞｼｯｸM-PRO"/>
          <w:sz w:val="24"/>
        </w:rPr>
        <mc:AlternateContent>
          <mc:Choice Requires="wps">
            <w:drawing>
              <wp:anchor distT="0" distB="0" distL="114300" distR="114300" simplePos="0" relativeHeight="48" behindDoc="0" locked="0" layoutInCell="1" hidden="0" allowOverlap="1">
                <wp:simplePos x="0" y="0"/>
                <wp:positionH relativeFrom="column">
                  <wp:posOffset>3985895</wp:posOffset>
                </wp:positionH>
                <wp:positionV relativeFrom="paragraph">
                  <wp:posOffset>2342515</wp:posOffset>
                </wp:positionV>
                <wp:extent cx="1819275" cy="271780"/>
                <wp:effectExtent l="0" t="0" r="635" b="635"/>
                <wp:wrapNone/>
                <wp:docPr id="1094" name="テキスト ボックス 2"/>
                <a:graphic xmlns:a="http://schemas.openxmlformats.org/drawingml/2006/main">
                  <a:graphicData uri="http://schemas.microsoft.com/office/word/2010/wordprocessingShape">
                    <wps:wsp>
                      <wps:cNvPr id="1094" name="テキスト ボックス 2"/>
                      <wps:cNvSpPr txBox="1">
                        <a:spLocks noChangeArrowheads="1"/>
                      </wps:cNvSpPr>
                      <wps:spPr>
                        <a:xfrm>
                          <a:off x="0" y="0"/>
                          <a:ext cx="1819275" cy="271780"/>
                        </a:xfrm>
                        <a:prstGeom prst="rect">
                          <a:avLst/>
                        </a:prstGeom>
                        <a:noFill/>
                        <a:ln w="9525">
                          <a:noFill/>
                          <a:miter lim="800000"/>
                          <a:headEnd/>
                          <a:tailEnd/>
                        </a:ln>
                      </wps:spPr>
                      <wps:txbx>
                        <w:txbxContent>
                          <w:p>
                            <w:pPr>
                              <w:pStyle w:val="0"/>
                              <w:rPr>
                                <w:rFonts w:hint="default"/>
                                <w:sz w:val="18"/>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84.45pt;mso-position-vertical-relative:text;mso-position-horizontal-relative:text;v-text-anchor:top;position:absolute;height:21.4pt;mso-wrap-distance-top:0pt;width:143.25pt;mso-wrap-distance-left:9pt;margin-left:313.85000000000002pt;z-index:48;" o:spid="_x0000_s1094" o:allowincell="t" o:allowoverlap="t" filled="f" stroked="f" strokeweight="0.75pt" o:spt="202" type="#_x0000_t202">
                <v:fill/>
                <v:stroke miterlimit="8"/>
                <v:textbox style="layout-flow:horizontal;">
                  <w:txbxContent>
                    <w:p>
                      <w:pPr>
                        <w:pStyle w:val="0"/>
                        <w:rPr>
                          <w:rFonts w:hint="default"/>
                          <w:sz w:val="18"/>
                        </w:rPr>
                      </w:pPr>
                    </w:p>
                  </w:txbxContent>
                </v:textbox>
                <v:imagedata o:title=""/>
                <w10:wrap type="none" anchorx="text" anchory="text"/>
              </v:shape>
            </w:pict>
          </mc:Fallback>
        </mc:AlternateContent>
      </w:r>
      <w:r>
        <w:rPr>
          <w:rFonts w:hint="eastAsia" w:ascii="HG丸ｺﾞｼｯｸM-PRO" w:hAnsi="HG丸ｺﾞｼｯｸM-PRO" w:eastAsia="HG丸ｺﾞｼｯｸM-PRO"/>
        </w:rPr>
        <w:t>　　</w:t>
      </w:r>
      <w:r>
        <w:rPr>
          <w:rFonts w:hint="eastAsia" w:ascii="HG丸ｺﾞｼｯｸM-PRO" w:hAnsi="HG丸ｺﾞｼｯｸM-PRO" w:eastAsia="HG丸ｺﾞｼｯｸM-PRO"/>
          <w:sz w:val="22"/>
        </w:rPr>
        <w:t>　※数値については全て「岡山県の環境大気の概況」を参照とした。</w:t>
      </w:r>
    </w:p>
    <w:p>
      <w:pPr>
        <w:pStyle w:val="0"/>
        <w:jc w:val="center"/>
        <w:rPr>
          <w:rFonts w:hint="default" w:ascii="HG丸ｺﾞｼｯｸM-PRO" w:hAnsi="HG丸ｺﾞｼｯｸM-PRO" w:eastAsia="HG丸ｺﾞｼｯｸM-PRO"/>
          <w:sz w:val="22"/>
        </w:rPr>
      </w:pPr>
    </w:p>
    <w:p>
      <w:pPr>
        <w:pStyle w:val="0"/>
        <w:jc w:val="right"/>
        <w:rPr>
          <w:rFonts w:hint="default" w:ascii="HG丸ｺﾞｼｯｸM-PRO" w:hAnsi="HG丸ｺﾞｼｯｸM-PRO" w:eastAsia="HG丸ｺﾞｼｯｸM-PRO"/>
          <w:sz w:val="24"/>
        </w:rPr>
      </w:pPr>
    </w:p>
    <w:p>
      <w:pPr>
        <w:pStyle w:val="0"/>
        <w:jc w:val="right"/>
        <w:rPr>
          <w:rFonts w:hint="default" w:ascii="HG丸ｺﾞｼｯｸM-PRO" w:hAnsi="HG丸ｺﾞｼｯｸM-PRO" w:eastAsia="HG丸ｺﾞｼｯｸM-PRO"/>
          <w:sz w:val="24"/>
        </w:rPr>
      </w:pPr>
    </w:p>
    <w:p>
      <w:pPr>
        <w:pStyle w:val="0"/>
        <w:jc w:val="left"/>
        <w:rPr>
          <w:rFonts w:hint="default" w:ascii="HG丸ｺﾞｼｯｸM-PRO" w:hAnsi="HG丸ｺﾞｼｯｸM-PRO" w:eastAsia="HG丸ｺﾞｼｯｸM-PRO"/>
          <w:sz w:val="24"/>
        </w:rPr>
      </w:pPr>
    </w:p>
    <w:p>
      <w:pPr>
        <w:pStyle w:val="0"/>
        <w:jc w:val="right"/>
        <w:rPr>
          <w:rFonts w:hint="default" w:ascii="HG丸ｺﾞｼｯｸM-PRO" w:hAnsi="HG丸ｺﾞｼｯｸM-PRO" w:eastAsia="HG丸ｺﾞｼｯｸM-PRO"/>
          <w:sz w:val="24"/>
        </w:rPr>
      </w:pPr>
    </w:p>
    <w:p>
      <w:pPr>
        <w:pStyle w:val="0"/>
        <w:jc w:val="center"/>
        <w:rPr>
          <w:rFonts w:hint="default" w:ascii="HG丸ｺﾞｼｯｸM-PRO" w:hAnsi="HG丸ｺﾞｼｯｸM-PRO" w:eastAsia="HG丸ｺﾞｼｯｸM-PRO"/>
          <w:sz w:val="24"/>
        </w:rPr>
      </w:pPr>
    </w:p>
    <w:p>
      <w:pPr>
        <w:pStyle w:val="0"/>
        <w:widowControl w:val="1"/>
        <w:jc w:val="left"/>
        <w:rPr>
          <w:rFonts w:hint="default" w:ascii="HG丸ｺﾞｼｯｸM-PRO" w:hAnsi="HG丸ｺﾞｼｯｸM-PRO" w:eastAsia="HG丸ｺﾞｼｯｸM-PRO"/>
          <w:sz w:val="24"/>
          <w:u w:val="single" w:color="auto"/>
        </w:rPr>
      </w:pPr>
      <w:r>
        <w:rPr>
          <w:rFonts w:hint="default" w:ascii="HG丸ｺﾞｼｯｸM-PRO" w:hAnsi="HG丸ｺﾞｼｯｸM-PRO" w:eastAsia="HG丸ｺﾞｼｯｸM-PRO"/>
          <w:sz w:val="24"/>
        </w:rPr>
        <w:br w:type="page"/>
      </w:r>
      <w:r>
        <w:rPr>
          <w:rFonts w:hint="eastAsia" w:ascii="HG丸ｺﾞｼｯｸM-PRO" w:hAnsi="HG丸ｺﾞｼｯｸM-PRO" w:eastAsia="HG丸ｺﾞｼｯｸM-PRO"/>
          <w:sz w:val="24"/>
          <w:u w:val="single" w:color="auto"/>
        </w:rPr>
        <w:t>（</w:t>
      </w:r>
      <w:r>
        <w:rPr>
          <w:rFonts w:hint="eastAsia" w:ascii="HG丸ｺﾞｼｯｸM-PRO" w:hAnsi="HG丸ｺﾞｼｯｸM-PRO" w:eastAsia="HG丸ｺﾞｼｯｸM-PRO"/>
          <w:sz w:val="24"/>
          <w:u w:val="single" w:color="auto"/>
        </w:rPr>
        <w:t>2</w:t>
      </w:r>
      <w:r>
        <w:rPr>
          <w:rFonts w:hint="eastAsia" w:ascii="HG丸ｺﾞｼｯｸM-PRO" w:hAnsi="HG丸ｺﾞｼｯｸM-PRO" w:eastAsia="HG丸ｺﾞｼｯｸM-PRO"/>
          <w:sz w:val="24"/>
          <w:u w:val="single" w:color="auto"/>
        </w:rPr>
        <w:t>）騒音</w:t>
      </w:r>
    </w:p>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sz w:val="22"/>
        </w:rPr>
        <w:t>◆騒音に係る環境基準及びあてはめ地域</w:t>
      </w:r>
    </w:p>
    <w:p>
      <w:pPr>
        <w:pStyle w:val="0"/>
        <w:ind w:firstLine="420" w:firstLineChars="2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①一般地域</w:t>
      </w:r>
    </w:p>
    <w:tbl>
      <w:tblPr>
        <w:tblStyle w:val="11"/>
        <w:tblW w:w="8363" w:type="dxa"/>
        <w:tblInd w:w="52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99" w:type="dxa"/>
          <w:right w:w="99" w:type="dxa"/>
        </w:tblCellMar>
        <w:tblLook w:firstRow="0" w:lastRow="0" w:firstColumn="0" w:lastColumn="0" w:noHBand="0" w:noVBand="0" w:val="0000"/>
      </w:tblPr>
      <w:tblGrid>
        <w:gridCol w:w="1559"/>
        <w:gridCol w:w="3357"/>
        <w:gridCol w:w="3447"/>
      </w:tblGrid>
      <w:tr>
        <w:trPr>
          <w:cantSplit/>
          <w:trHeight w:val="270" w:hRule="atLeast"/>
        </w:trPr>
        <w:tc>
          <w:tcPr>
            <w:tcW w:w="1559" w:type="dxa"/>
            <w:vMerge w:val="restart"/>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地域の類型</w:t>
            </w:r>
          </w:p>
        </w:tc>
        <w:tc>
          <w:tcPr>
            <w:tcW w:w="6804" w:type="dxa"/>
            <w:gridSpan w:val="2"/>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基　　　準　　　値</w:t>
            </w:r>
          </w:p>
        </w:tc>
      </w:tr>
      <w:tr>
        <w:trPr>
          <w:cantSplit/>
          <w:trHeight w:val="145" w:hRule="atLeast"/>
        </w:trPr>
        <w:tc>
          <w:tcPr>
            <w:tcW w:w="1559" w:type="dxa"/>
            <w:vMerge w:val="continue"/>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20"/>
              </w:rPr>
            </w:pPr>
          </w:p>
        </w:tc>
        <w:tc>
          <w:tcPr>
            <w:tcW w:w="3357"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昼　　　間</w:t>
            </w:r>
          </w:p>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（午前６時～午後</w:t>
            </w:r>
            <w:r>
              <w:rPr>
                <w:rFonts w:hint="eastAsia" w:asciiTheme="majorEastAsia" w:hAnsiTheme="majorEastAsia" w:eastAsiaTheme="majorEastAsia"/>
                <w:sz w:val="20"/>
              </w:rPr>
              <w:t>10</w:t>
            </w:r>
            <w:r>
              <w:rPr>
                <w:rFonts w:hint="eastAsia" w:asciiTheme="majorEastAsia" w:hAnsiTheme="majorEastAsia" w:eastAsiaTheme="majorEastAsia"/>
                <w:sz w:val="20"/>
              </w:rPr>
              <w:t>時）</w:t>
            </w:r>
          </w:p>
        </w:tc>
        <w:tc>
          <w:tcPr>
            <w:tcW w:w="3447"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夜　　　間</w:t>
            </w:r>
          </w:p>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（午後</w:t>
            </w:r>
            <w:r>
              <w:rPr>
                <w:rFonts w:hint="eastAsia" w:asciiTheme="majorEastAsia" w:hAnsiTheme="majorEastAsia" w:eastAsiaTheme="majorEastAsia"/>
                <w:sz w:val="20"/>
              </w:rPr>
              <w:t>10</w:t>
            </w:r>
            <w:r>
              <w:rPr>
                <w:rFonts w:hint="eastAsia" w:asciiTheme="majorEastAsia" w:hAnsiTheme="majorEastAsia" w:eastAsiaTheme="majorEastAsia"/>
                <w:sz w:val="20"/>
              </w:rPr>
              <w:t>時～午前６時）</w:t>
            </w:r>
          </w:p>
        </w:tc>
      </w:tr>
      <w:tr>
        <w:trPr>
          <w:trHeight w:val="390" w:hRule="atLeast"/>
        </w:trPr>
        <w:tc>
          <w:tcPr>
            <w:tcW w:w="1559"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ＡＡ</w:t>
            </w:r>
          </w:p>
        </w:tc>
        <w:tc>
          <w:tcPr>
            <w:tcW w:w="3357" w:type="dxa"/>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５０デシベル以下</w:t>
            </w:r>
          </w:p>
        </w:tc>
        <w:tc>
          <w:tcPr>
            <w:tcW w:w="3447" w:type="dxa"/>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４０デシベル以下</w:t>
            </w:r>
          </w:p>
        </w:tc>
      </w:tr>
      <w:tr>
        <w:trPr>
          <w:trHeight w:val="390" w:hRule="atLeast"/>
        </w:trPr>
        <w:tc>
          <w:tcPr>
            <w:tcW w:w="1559"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Ａ</w:t>
            </w:r>
          </w:p>
        </w:tc>
        <w:tc>
          <w:tcPr>
            <w:tcW w:w="3357" w:type="dxa"/>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５５デシベル以下</w:t>
            </w:r>
          </w:p>
        </w:tc>
        <w:tc>
          <w:tcPr>
            <w:tcW w:w="3447" w:type="dxa"/>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４５デシベル以下</w:t>
            </w:r>
          </w:p>
        </w:tc>
      </w:tr>
      <w:tr>
        <w:trPr>
          <w:trHeight w:val="390" w:hRule="atLeast"/>
        </w:trPr>
        <w:tc>
          <w:tcPr>
            <w:tcW w:w="1559"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Ｂ</w:t>
            </w:r>
          </w:p>
        </w:tc>
        <w:tc>
          <w:tcPr>
            <w:tcW w:w="3357" w:type="dxa"/>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５５デシベル以下</w:t>
            </w:r>
          </w:p>
        </w:tc>
        <w:tc>
          <w:tcPr>
            <w:tcW w:w="3447" w:type="dxa"/>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４５デシベル以下</w:t>
            </w:r>
          </w:p>
        </w:tc>
      </w:tr>
      <w:tr>
        <w:trPr>
          <w:trHeight w:val="390" w:hRule="atLeast"/>
        </w:trPr>
        <w:tc>
          <w:tcPr>
            <w:tcW w:w="1559"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Ｃ</w:t>
            </w:r>
          </w:p>
        </w:tc>
        <w:tc>
          <w:tcPr>
            <w:tcW w:w="3357" w:type="dxa"/>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６０デシベル以下</w:t>
            </w:r>
          </w:p>
        </w:tc>
        <w:tc>
          <w:tcPr>
            <w:tcW w:w="3447" w:type="dxa"/>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５０デシベル以下</w:t>
            </w:r>
          </w:p>
        </w:tc>
      </w:tr>
    </w:tbl>
    <w:p>
      <w:pPr>
        <w:pStyle w:val="0"/>
        <w:ind w:firstLine="420" w:firstLineChars="200"/>
        <w:jc w:val="left"/>
        <w:rPr>
          <w:rFonts w:hint="default" w:ascii="HG丸ｺﾞｼｯｸM-PRO" w:hAnsi="HG丸ｺﾞｼｯｸM-PRO" w:eastAsia="HG丸ｺﾞｼｯｸM-PRO"/>
        </w:rPr>
      </w:pPr>
    </w:p>
    <w:p>
      <w:pPr>
        <w:pStyle w:val="0"/>
        <w:ind w:firstLine="420" w:firstLineChars="20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②道路に面する地域</w:t>
      </w:r>
    </w:p>
    <w:tbl>
      <w:tblPr>
        <w:tblStyle w:val="11"/>
        <w:tblW w:w="8363" w:type="dxa"/>
        <w:tblInd w:w="52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99" w:type="dxa"/>
          <w:right w:w="99" w:type="dxa"/>
        </w:tblCellMar>
        <w:tblLook w:firstRow="0" w:lastRow="0" w:firstColumn="0" w:lastColumn="0" w:noHBand="0" w:noVBand="0" w:val="0000"/>
      </w:tblPr>
      <w:tblGrid>
        <w:gridCol w:w="1559"/>
        <w:gridCol w:w="1559"/>
        <w:gridCol w:w="2552"/>
        <w:gridCol w:w="2693"/>
      </w:tblGrid>
      <w:tr>
        <w:trPr>
          <w:cantSplit/>
          <w:trHeight w:val="270" w:hRule="atLeast"/>
        </w:trPr>
        <w:tc>
          <w:tcPr>
            <w:tcW w:w="1559" w:type="dxa"/>
            <w:vMerge w:val="restart"/>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地域の類型</w:t>
            </w:r>
          </w:p>
        </w:tc>
        <w:tc>
          <w:tcPr>
            <w:tcW w:w="1559" w:type="dxa"/>
            <w:vMerge w:val="restart"/>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車線</w:t>
            </w:r>
          </w:p>
        </w:tc>
        <w:tc>
          <w:tcPr>
            <w:tcW w:w="5245" w:type="dxa"/>
            <w:gridSpan w:val="2"/>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基　　　準　　　値</w:t>
            </w:r>
          </w:p>
        </w:tc>
      </w:tr>
      <w:tr>
        <w:trPr>
          <w:cantSplit/>
          <w:trHeight w:val="145" w:hRule="atLeast"/>
        </w:trPr>
        <w:tc>
          <w:tcPr>
            <w:tcW w:w="1559" w:type="dxa"/>
            <w:vMerge w:val="continue"/>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20"/>
              </w:rPr>
            </w:pPr>
          </w:p>
        </w:tc>
        <w:tc>
          <w:tcPr>
            <w:tcW w:w="1559" w:type="dxa"/>
            <w:vMerge w:val="continue"/>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20"/>
              </w:rPr>
            </w:pPr>
          </w:p>
        </w:tc>
        <w:tc>
          <w:tcPr>
            <w:tcW w:w="2552"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昼　　　間</w:t>
            </w:r>
          </w:p>
        </w:tc>
        <w:tc>
          <w:tcPr>
            <w:tcW w:w="2693"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夜　　　間</w:t>
            </w:r>
          </w:p>
        </w:tc>
      </w:tr>
      <w:tr>
        <w:trPr>
          <w:trHeight w:val="285" w:hRule="atLeast"/>
        </w:trPr>
        <w:tc>
          <w:tcPr>
            <w:tcW w:w="1559"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Ａ</w:t>
            </w:r>
          </w:p>
        </w:tc>
        <w:tc>
          <w:tcPr>
            <w:tcW w:w="1559" w:type="dxa"/>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２車線以上</w:t>
            </w:r>
          </w:p>
        </w:tc>
        <w:tc>
          <w:tcPr>
            <w:tcW w:w="2552" w:type="dxa"/>
            <w:vAlign w:val="center"/>
          </w:tcPr>
          <w:p>
            <w:pPr>
              <w:pStyle w:val="0"/>
              <w:spacing w:line="0" w:lineRule="atLeast"/>
              <w:jc w:val="center"/>
              <w:rPr>
                <w:rFonts w:hint="default" w:asciiTheme="majorEastAsia" w:hAnsiTheme="majorEastAsia" w:eastAsiaTheme="majorEastAsia"/>
                <w:sz w:val="20"/>
              </w:rPr>
            </w:pPr>
            <w:r>
              <w:rPr>
                <w:rFonts w:hint="default" w:asciiTheme="majorEastAsia" w:hAnsiTheme="majorEastAsia" w:eastAsiaTheme="majorEastAsia"/>
                <w:sz w:val="20"/>
              </w:rPr>
              <w:t>６０デシベル以下</w:t>
            </w:r>
          </w:p>
        </w:tc>
        <w:tc>
          <w:tcPr>
            <w:tcW w:w="2693" w:type="dxa"/>
            <w:vAlign w:val="center"/>
          </w:tcPr>
          <w:p>
            <w:pPr>
              <w:pStyle w:val="0"/>
              <w:spacing w:line="0" w:lineRule="atLeast"/>
              <w:jc w:val="center"/>
              <w:rPr>
                <w:rFonts w:hint="default" w:asciiTheme="majorEastAsia" w:hAnsiTheme="majorEastAsia" w:eastAsiaTheme="majorEastAsia"/>
                <w:sz w:val="20"/>
              </w:rPr>
            </w:pPr>
            <w:r>
              <w:rPr>
                <w:rFonts w:hint="default" w:asciiTheme="majorEastAsia" w:hAnsiTheme="majorEastAsia" w:eastAsiaTheme="majorEastAsia"/>
                <w:sz w:val="20"/>
              </w:rPr>
              <w:t>５５デシベル以下</w:t>
            </w:r>
          </w:p>
        </w:tc>
      </w:tr>
      <w:tr>
        <w:trPr>
          <w:cantSplit/>
          <w:trHeight w:val="397" w:hRule="atLeast"/>
        </w:trPr>
        <w:tc>
          <w:tcPr>
            <w:tcW w:w="1559"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Ｂ</w:t>
            </w:r>
          </w:p>
        </w:tc>
        <w:tc>
          <w:tcPr>
            <w:tcW w:w="1559" w:type="dxa"/>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２車線以上</w:t>
            </w:r>
          </w:p>
        </w:tc>
        <w:tc>
          <w:tcPr>
            <w:tcW w:w="2552" w:type="dxa"/>
            <w:vMerge w:val="restart"/>
            <w:vAlign w:val="center"/>
          </w:tcPr>
          <w:p>
            <w:pPr>
              <w:pStyle w:val="0"/>
              <w:spacing w:line="0" w:lineRule="atLeast"/>
              <w:jc w:val="center"/>
              <w:rPr>
                <w:rFonts w:hint="default" w:asciiTheme="majorEastAsia" w:hAnsiTheme="majorEastAsia" w:eastAsiaTheme="majorEastAsia"/>
                <w:sz w:val="20"/>
              </w:rPr>
            </w:pPr>
            <w:r>
              <w:rPr>
                <w:rFonts w:hint="default" w:asciiTheme="majorEastAsia" w:hAnsiTheme="majorEastAsia" w:eastAsiaTheme="majorEastAsia"/>
                <w:sz w:val="20"/>
              </w:rPr>
              <w:t>６５デシベル以下</w:t>
            </w:r>
          </w:p>
        </w:tc>
        <w:tc>
          <w:tcPr>
            <w:tcW w:w="2693" w:type="dxa"/>
            <w:vMerge w:val="restart"/>
            <w:vAlign w:val="center"/>
          </w:tcPr>
          <w:p>
            <w:pPr>
              <w:pStyle w:val="0"/>
              <w:spacing w:line="0" w:lineRule="atLeast"/>
              <w:jc w:val="center"/>
              <w:rPr>
                <w:rFonts w:hint="default" w:asciiTheme="majorEastAsia" w:hAnsiTheme="majorEastAsia" w:eastAsiaTheme="majorEastAsia"/>
                <w:sz w:val="20"/>
              </w:rPr>
            </w:pPr>
            <w:r>
              <w:rPr>
                <w:rFonts w:hint="default" w:asciiTheme="majorEastAsia" w:hAnsiTheme="majorEastAsia" w:eastAsiaTheme="majorEastAsia"/>
                <w:sz w:val="20"/>
              </w:rPr>
              <w:t>６０デシベル以下</w:t>
            </w:r>
          </w:p>
        </w:tc>
      </w:tr>
      <w:tr>
        <w:trPr>
          <w:cantSplit/>
          <w:trHeight w:val="338" w:hRule="atLeast"/>
        </w:trPr>
        <w:tc>
          <w:tcPr>
            <w:tcW w:w="1559"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Ｃ</w:t>
            </w:r>
          </w:p>
        </w:tc>
        <w:tc>
          <w:tcPr>
            <w:tcW w:w="1559" w:type="dxa"/>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１車線以上</w:t>
            </w:r>
          </w:p>
        </w:tc>
        <w:tc>
          <w:tcPr>
            <w:tcW w:w="2552" w:type="dxa"/>
            <w:vMerge w:val="continue"/>
            <w:vAlign w:val="center"/>
          </w:tcPr>
          <w:p>
            <w:pPr>
              <w:pStyle w:val="0"/>
              <w:spacing w:line="0" w:lineRule="atLeast"/>
              <w:jc w:val="center"/>
              <w:rPr>
                <w:rFonts w:hint="default" w:asciiTheme="majorEastAsia" w:hAnsiTheme="majorEastAsia" w:eastAsiaTheme="majorEastAsia"/>
                <w:sz w:val="18"/>
              </w:rPr>
            </w:pPr>
          </w:p>
        </w:tc>
        <w:tc>
          <w:tcPr>
            <w:tcW w:w="2693" w:type="dxa"/>
            <w:vMerge w:val="continue"/>
            <w:vAlign w:val="center"/>
          </w:tcPr>
          <w:p>
            <w:pPr>
              <w:pStyle w:val="0"/>
              <w:spacing w:line="0" w:lineRule="atLeast"/>
              <w:jc w:val="center"/>
              <w:rPr>
                <w:rFonts w:hint="default" w:asciiTheme="majorEastAsia" w:hAnsiTheme="majorEastAsia" w:eastAsiaTheme="majorEastAsia"/>
                <w:sz w:val="18"/>
              </w:rPr>
            </w:pPr>
          </w:p>
        </w:tc>
      </w:tr>
    </w:tbl>
    <w:p>
      <w:pPr>
        <w:pStyle w:val="0"/>
        <w:spacing w:line="0" w:lineRule="atLeast"/>
        <w:ind w:left="1320" w:leftChars="200" w:hanging="900" w:hangingChars="500"/>
        <w:jc w:val="left"/>
        <w:rPr>
          <w:rFonts w:hint="default" w:asciiTheme="majorEastAsia" w:hAnsiTheme="majorEastAsia" w:eastAsiaTheme="majorEastAsia"/>
          <w:sz w:val="18"/>
        </w:rPr>
      </w:pPr>
      <w:r>
        <w:rPr>
          <w:rFonts w:hint="eastAsia" w:asciiTheme="majorEastAsia" w:hAnsiTheme="majorEastAsia" w:eastAsiaTheme="majorEastAsia"/>
          <w:sz w:val="18"/>
        </w:rPr>
        <w:t>〔注〕１　ＡＡを当てはめる地域は、療養施設、社会福祉施設等が集合して設置される地域など特に静穏を要する地域とする。</w:t>
      </w:r>
    </w:p>
    <w:p>
      <w:pPr>
        <w:pStyle w:val="0"/>
        <w:spacing w:line="0" w:lineRule="atLeast"/>
        <w:ind w:firstLine="990" w:firstLineChars="550"/>
        <w:jc w:val="left"/>
        <w:rPr>
          <w:rFonts w:hint="default" w:asciiTheme="majorEastAsia" w:hAnsiTheme="majorEastAsia" w:eastAsiaTheme="majorEastAsia"/>
          <w:sz w:val="18"/>
        </w:rPr>
      </w:pPr>
      <w:r>
        <w:rPr>
          <w:rFonts w:hint="eastAsia" w:asciiTheme="majorEastAsia" w:hAnsiTheme="majorEastAsia" w:eastAsiaTheme="majorEastAsia"/>
          <w:sz w:val="18"/>
        </w:rPr>
        <w:t>２　Ａを当てはめる地域は、専ら住居の用に供される地域とする。</w:t>
      </w:r>
    </w:p>
    <w:p>
      <w:pPr>
        <w:pStyle w:val="0"/>
        <w:spacing w:line="0" w:lineRule="atLeast"/>
        <w:ind w:firstLine="990" w:firstLineChars="550"/>
        <w:jc w:val="left"/>
        <w:rPr>
          <w:rFonts w:hint="default" w:asciiTheme="majorEastAsia" w:hAnsiTheme="majorEastAsia" w:eastAsiaTheme="majorEastAsia"/>
          <w:sz w:val="18"/>
        </w:rPr>
      </w:pPr>
      <w:r>
        <w:rPr>
          <w:rFonts w:hint="eastAsia" w:asciiTheme="majorEastAsia" w:hAnsiTheme="majorEastAsia" w:eastAsiaTheme="majorEastAsia"/>
          <w:sz w:val="18"/>
        </w:rPr>
        <w:t>３　Ｂを当てはめる地域は、主として住居の用に供される地域とする。</w:t>
      </w:r>
    </w:p>
    <w:p>
      <w:pPr>
        <w:pStyle w:val="0"/>
        <w:spacing w:line="0" w:lineRule="atLeast"/>
        <w:ind w:firstLine="990" w:firstLineChars="550"/>
        <w:jc w:val="left"/>
        <w:rPr>
          <w:rFonts w:hint="default" w:asciiTheme="majorEastAsia" w:hAnsiTheme="majorEastAsia" w:eastAsiaTheme="majorEastAsia"/>
          <w:sz w:val="18"/>
        </w:rPr>
      </w:pPr>
      <w:r>
        <w:rPr>
          <w:rFonts w:hint="eastAsia" w:asciiTheme="majorEastAsia" w:hAnsiTheme="majorEastAsia" w:eastAsiaTheme="majorEastAsia"/>
          <w:sz w:val="18"/>
        </w:rPr>
        <w:t>４　Ｃを当てはめる地域は、相当数の住居と併せて商業、工業等の用に供される地域とする。</w:t>
      </w:r>
    </w:p>
    <w:p>
      <w:pPr>
        <w:pStyle w:val="0"/>
        <w:spacing w:line="0" w:lineRule="atLeast"/>
        <w:ind w:left="542" w:leftChars="258" w:firstLine="938" w:firstLineChars="521"/>
        <w:jc w:val="left"/>
        <w:rPr>
          <w:rFonts w:hint="default" w:asciiTheme="minorEastAsia" w:hAnsiTheme="minorEastAsia"/>
          <w:sz w:val="18"/>
        </w:rPr>
      </w:pPr>
    </w:p>
    <w:p>
      <w:pPr>
        <w:pStyle w:val="0"/>
        <w:spacing w:line="0" w:lineRule="atLeast"/>
        <w:ind w:left="542" w:leftChars="258" w:firstLine="938" w:firstLineChars="521"/>
        <w:jc w:val="left"/>
        <w:rPr>
          <w:rFonts w:hint="default" w:asciiTheme="minorEastAsia" w:hAnsiTheme="minorEastAsia"/>
          <w:sz w:val="18"/>
        </w:rPr>
      </w:pPr>
    </w:p>
    <w:p>
      <w:pPr>
        <w:pStyle w:val="0"/>
        <w:spacing w:line="0" w:lineRule="atLeast"/>
        <w:ind w:left="420" w:leftChars="100" w:hanging="210" w:hangingChars="100"/>
        <w:jc w:val="left"/>
        <w:rPr>
          <w:rFonts w:hint="default" w:ascii="HG丸ｺﾞｼｯｸM-PRO" w:hAnsi="HG丸ｺﾞｼｯｸM-PRO" w:eastAsia="HG丸ｺﾞｼｯｸM-PRO"/>
        </w:rPr>
      </w:pPr>
      <w:r>
        <w:rPr>
          <w:rFonts w:hint="eastAsia" w:asciiTheme="minorEastAsia" w:hAnsiTheme="minorEastAsia"/>
        </w:rPr>
        <w:t>　　</w:t>
      </w:r>
      <w:r>
        <w:rPr>
          <w:rFonts w:hint="eastAsia" w:ascii="HG丸ｺﾞｼｯｸM-PRO" w:hAnsi="HG丸ｺﾞｼｯｸM-PRO" w:eastAsia="HG丸ｺﾞｼｯｸM-PRO"/>
        </w:rPr>
        <w:t>なお、道路に面する地域において、幹線交通を担う道路に近接する空間については、特例として次表の基準値を適用する。</w:t>
      </w:r>
    </w:p>
    <w:tbl>
      <w:tblPr>
        <w:tblStyle w:val="11"/>
        <w:tblW w:w="8363" w:type="dxa"/>
        <w:tblInd w:w="52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99" w:type="dxa"/>
          <w:right w:w="99" w:type="dxa"/>
        </w:tblCellMar>
        <w:tblLook w:firstRow="0" w:lastRow="0" w:firstColumn="0" w:lastColumn="0" w:noHBand="0" w:noVBand="0" w:val="0000"/>
      </w:tblPr>
      <w:tblGrid>
        <w:gridCol w:w="4110"/>
        <w:gridCol w:w="4253"/>
      </w:tblGrid>
      <w:tr>
        <w:trPr>
          <w:trHeight w:val="285" w:hRule="atLeast"/>
        </w:trPr>
        <w:tc>
          <w:tcPr>
            <w:tcW w:w="4110"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昼　　　間</w:t>
            </w:r>
          </w:p>
        </w:tc>
        <w:tc>
          <w:tcPr>
            <w:tcW w:w="4253"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夜　　　間</w:t>
            </w:r>
          </w:p>
        </w:tc>
      </w:tr>
      <w:tr>
        <w:trPr>
          <w:trHeight w:val="210" w:hRule="atLeast"/>
        </w:trPr>
        <w:tc>
          <w:tcPr>
            <w:tcW w:w="4110" w:type="dxa"/>
            <w:vAlign w:val="top"/>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７０デシベル以下</w:t>
            </w:r>
          </w:p>
        </w:tc>
        <w:tc>
          <w:tcPr>
            <w:tcW w:w="4253" w:type="dxa"/>
            <w:vAlign w:val="top"/>
          </w:tcPr>
          <w:p>
            <w:pPr>
              <w:pStyl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６５デシベル以下</w:t>
            </w:r>
          </w:p>
        </w:tc>
      </w:tr>
      <w:tr>
        <w:trPr>
          <w:trHeight w:val="330" w:hRule="atLeast"/>
        </w:trPr>
        <w:tc>
          <w:tcPr>
            <w:tcW w:w="8363" w:type="dxa"/>
            <w:gridSpan w:val="2"/>
            <w:vAlign w:val="top"/>
          </w:tcPr>
          <w:p>
            <w:pPr>
              <w:pStyle w:val="0"/>
              <w:spacing w:line="0" w:lineRule="atLeast"/>
              <w:ind w:left="622" w:hanging="622" w:hangingChars="311"/>
              <w:jc w:val="left"/>
              <w:rPr>
                <w:rFonts w:hint="default" w:asciiTheme="majorEastAsia" w:hAnsiTheme="majorEastAsia" w:eastAsiaTheme="majorEastAsia"/>
                <w:sz w:val="20"/>
              </w:rPr>
            </w:pPr>
            <w:r>
              <w:rPr>
                <w:rFonts w:hint="eastAsia" w:asciiTheme="majorEastAsia" w:hAnsiTheme="majorEastAsia" w:eastAsiaTheme="majorEastAsia"/>
                <w:sz w:val="20"/>
              </w:rPr>
              <w:t>備考　個別の住居等において騒音の影響を受けやすい面の窓を主として閉めた生活が営まれていると認められるときは、屋内へ透過する騒音に係る基準（昼間は４５デシベル以下、夜間は４０デシベル以下）によることができる。</w:t>
            </w:r>
          </w:p>
        </w:tc>
      </w:tr>
    </w:tbl>
    <w:p>
      <w:pPr>
        <w:pStyle w:val="0"/>
        <w:widowControl w:val="1"/>
        <w:jc w:val="left"/>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w:t>
      </w:r>
    </w:p>
    <w:p>
      <w:pPr>
        <w:pStyle w:val="0"/>
        <w:widowControl w:val="1"/>
        <w:jc w:val="left"/>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br w:type="page"/>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①一般地域</w:t>
      </w:r>
    </w:p>
    <w:p>
      <w:pPr>
        <w:pStyle w:val="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※観測地が年度で変更しているため、グラフに数値のない場合がある。</w:t>
      </w:r>
    </w:p>
    <w:p>
      <w:pPr>
        <w:pStyle w:val="0"/>
        <w:jc w:val="center"/>
        <w:rPr>
          <w:rFonts w:hint="default" w:ascii="HG丸ｺﾞｼｯｸM-PRO" w:hAnsi="HG丸ｺﾞｼｯｸM-PRO" w:eastAsia="HG丸ｺﾞｼｯｸM-PRO"/>
        </w:rPr>
      </w:pPr>
      <w:r>
        <w:rPr>
          <w:rFonts w:hint="eastAsia"/>
        </w:rPr>
        <w:drawing>
          <wp:inline distT="0" distB="0" distL="203200" distR="203200">
            <wp:extent cx="5759450" cy="2891790"/>
            <wp:effectExtent l="0" t="0" r="0" b="0"/>
            <wp:docPr id="1095" name="オブジェクト 0"/>
            <a:graphic xmlns:a="http://schemas.openxmlformats.org/drawingml/2006/main">
              <a:graphicData uri="http://schemas.openxmlformats.org/drawingml/2006/picture">
                <pic:pic xmlns:pic="http://schemas.openxmlformats.org/drawingml/2006/picture">
                  <pic:nvPicPr>
                    <pic:cNvPr id="1095" name="オブジェクト 0"/>
                    <pic:cNvPicPr>
                      <a:picLocks noChangeAspect="1"/>
                    </pic:cNvPicPr>
                  </pic:nvPicPr>
                  <pic:blipFill>
                    <a:blip r:embed="rId39"/>
                    <a:stretch>
                      <a:fillRect/>
                    </a:stretch>
                  </pic:blipFill>
                  <pic:spPr>
                    <a:xfrm>
                      <a:off x="0" y="0"/>
                      <a:ext cx="5759450" cy="2891790"/>
                    </a:xfrm>
                    <a:prstGeom prst="rect">
                      <a:avLst/>
                    </a:prstGeom>
                  </pic:spPr>
                </pic:pic>
              </a:graphicData>
            </a:graphic>
          </wp:inline>
        </w:drawing>
      </w:r>
    </w:p>
    <w:tbl>
      <w:tblPr>
        <w:tblStyle w:val="11"/>
        <w:tblW w:w="800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firstRow="1" w:lastRow="0" w:firstColumn="1" w:lastColumn="0" w:noHBand="0" w:noVBand="1" w:val="04A0"/>
      </w:tblPr>
      <w:tblGrid>
        <w:gridCol w:w="1081"/>
        <w:gridCol w:w="1535"/>
        <w:gridCol w:w="1077"/>
        <w:gridCol w:w="1077"/>
        <w:gridCol w:w="1076"/>
        <w:gridCol w:w="1077"/>
        <w:gridCol w:w="1077"/>
      </w:tblGrid>
      <w:tr>
        <w:trPr>
          <w:trHeight w:val="270" w:hRule="atLeast"/>
        </w:trPr>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BFBFBF"/>
            <w:tcMar>
              <w:top w:w="0" w:type="dxa"/>
              <w:left w:w="5" w:type="dxa"/>
              <w:bottom w:w="0" w:type="dxa"/>
              <w:right w:w="5" w:type="dxa"/>
            </w:tcMar>
            <w:vAlign w:val="center"/>
          </w:tcPr>
          <w:p>
            <w:pPr>
              <w:pStyle w:val="0"/>
              <w:shd w:val="clear" w:color="auto" w:fill="BFBFBF"/>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類型</w:t>
            </w:r>
          </w:p>
        </w:tc>
        <w:tc>
          <w:tcPr>
            <w:tcW w:w="15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BFBFBF"/>
            <w:tcMar>
              <w:top w:w="0" w:type="dxa"/>
              <w:left w:w="5" w:type="dxa"/>
              <w:bottom w:w="0" w:type="dxa"/>
              <w:right w:w="5" w:type="dxa"/>
            </w:tcMar>
            <w:vAlign w:val="center"/>
          </w:tcPr>
          <w:p>
            <w:pPr>
              <w:pStyle w:val="0"/>
              <w:shd w:val="clear" w:color="auto" w:fill="BFBFBF"/>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地域</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BFBFBF"/>
            <w:tcMar>
              <w:top w:w="0" w:type="dxa"/>
              <w:left w:w="5" w:type="dxa"/>
              <w:bottom w:w="0" w:type="dxa"/>
              <w:right w:w="5" w:type="dxa"/>
            </w:tcMar>
            <w:vAlign w:val="center"/>
          </w:tcPr>
          <w:p>
            <w:pPr>
              <w:pStyle w:val="0"/>
              <w:shd w:val="clear" w:color="auto" w:fill="BFBFBF"/>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H26</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BFBFBF"/>
            <w:tcMar>
              <w:top w:w="0" w:type="dxa"/>
              <w:left w:w="5" w:type="dxa"/>
              <w:bottom w:w="0" w:type="dxa"/>
              <w:right w:w="5" w:type="dxa"/>
            </w:tcMar>
            <w:vAlign w:val="center"/>
          </w:tcPr>
          <w:p>
            <w:pPr>
              <w:pStyle w:val="0"/>
              <w:shd w:val="clear" w:color="auto" w:fill="BFBFBF"/>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H27</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BFBFBF"/>
            <w:tcMar>
              <w:top w:w="0" w:type="dxa"/>
              <w:left w:w="5" w:type="dxa"/>
              <w:bottom w:w="0" w:type="dxa"/>
              <w:right w:w="5" w:type="dxa"/>
            </w:tcMar>
            <w:vAlign w:val="center"/>
          </w:tcPr>
          <w:p>
            <w:pPr>
              <w:pStyle w:val="0"/>
              <w:shd w:val="clear" w:color="auto" w:fill="BFBFBF"/>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H28</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BFBFBF"/>
            <w:tcMar>
              <w:top w:w="0" w:type="dxa"/>
              <w:left w:w="5" w:type="dxa"/>
              <w:bottom w:w="0" w:type="dxa"/>
              <w:right w:w="5" w:type="dxa"/>
            </w:tcMar>
            <w:vAlign w:val="center"/>
          </w:tcPr>
          <w:p>
            <w:pPr>
              <w:pStyle w:val="0"/>
              <w:shd w:val="clear" w:color="auto" w:fill="BFBFBF"/>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H29</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BFBFBF"/>
            <w:tcMar>
              <w:top w:w="0" w:type="dxa"/>
              <w:left w:w="5" w:type="dxa"/>
              <w:bottom w:w="0" w:type="dxa"/>
              <w:right w:w="5" w:type="dxa"/>
            </w:tcMar>
            <w:vAlign w:val="center"/>
          </w:tcPr>
          <w:p>
            <w:pPr>
              <w:pStyle w:val="0"/>
              <w:shd w:val="clear" w:color="auto" w:fill="BFBFBF"/>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H30</w:t>
            </w:r>
          </w:p>
        </w:tc>
      </w:tr>
      <w:tr>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A,B</w:t>
            </w:r>
            <w:r>
              <w:rPr>
                <w:rFonts w:hint="default" w:ascii="ＭＳ Ｐゴシック" w:hAnsi="ＭＳ Ｐゴシック" w:eastAsia="ＭＳ Ｐゴシック"/>
                <w:b w:val="0"/>
                <w:i w:val="0"/>
                <w:smallCaps w:val="0"/>
                <w:sz w:val="22"/>
              </w:rPr>
              <w:t>類型</w:t>
            </w:r>
          </w:p>
        </w:tc>
        <w:tc>
          <w:tcPr>
            <w:tcW w:w="15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山北（昼）</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52</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45</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45</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48</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44</w:t>
            </w:r>
          </w:p>
        </w:tc>
      </w:tr>
      <w:tr>
        <w:trPr>
          <w:trHeight w:val="270" w:hRule="atLeast"/>
        </w:trPr>
        <w:tc>
          <w:tcPr>
            <w:tcW w:w="1084"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Ｐゴシック" w:hAnsi="ＭＳ Ｐゴシック" w:eastAsia="ＭＳ Ｐゴシック"/>
                <w:b w:val="0"/>
                <w:i w:val="0"/>
                <w:smallCaps w:val="0"/>
                <w:sz w:val="22"/>
              </w:rPr>
            </w:pPr>
          </w:p>
        </w:tc>
        <w:tc>
          <w:tcPr>
            <w:tcW w:w="15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林田（昼）</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51</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w:t>
            </w:r>
          </w:p>
        </w:tc>
        <w:tc>
          <w:tcPr>
            <w:tcW w:w="1080" w:type="dxa"/>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w:t>
            </w:r>
          </w:p>
        </w:tc>
        <w:tc>
          <w:tcPr>
            <w:tcW w:w="1080" w:type="dxa"/>
            <w:tcBorders>
              <w:top w:val="single" w:color="000000" w:sz="4" w:space="0"/>
              <w:left w:val="nil"/>
              <w:bottom w:val="single" w:color="000000" w:sz="4" w:space="0"/>
              <w:right w:val="single" w:color="000000" w:sz="4" w:space="0"/>
              <w:tl2br w:val="none" w:color="auto" w:sz="0" w:space="0"/>
              <w:tr2bl w:val="none" w:color="auto" w:sz="0" w:space="0"/>
            </w:tcBorders>
            <w:tcMar>
              <w:top w:w="0" w:type="dxa"/>
              <w:left w:w="0"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w:t>
            </w:r>
          </w:p>
        </w:tc>
      </w:tr>
      <w:tr>
        <w:trPr>
          <w:trHeight w:val="270" w:hRule="atLeast"/>
        </w:trPr>
        <w:tc>
          <w:tcPr>
            <w:tcW w:w="1084"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Ｐゴシック" w:hAnsi="ＭＳ Ｐゴシック" w:eastAsia="ＭＳ Ｐゴシック"/>
                <w:b w:val="0"/>
                <w:i w:val="0"/>
                <w:smallCaps w:val="0"/>
                <w:sz w:val="22"/>
              </w:rPr>
            </w:pPr>
          </w:p>
        </w:tc>
        <w:tc>
          <w:tcPr>
            <w:tcW w:w="15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神戸（昼）</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48</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48</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49</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47</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47</w:t>
            </w:r>
          </w:p>
        </w:tc>
      </w:tr>
      <w:tr>
        <w:trPr>
          <w:trHeight w:val="270" w:hRule="atLeast"/>
        </w:trPr>
        <w:tc>
          <w:tcPr>
            <w:tcW w:w="1084"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Ｐゴシック" w:hAnsi="ＭＳ Ｐゴシック" w:eastAsia="ＭＳ Ｐゴシック"/>
                <w:b w:val="0"/>
                <w:i w:val="0"/>
                <w:smallCaps w:val="0"/>
                <w:sz w:val="22"/>
              </w:rPr>
            </w:pPr>
          </w:p>
        </w:tc>
        <w:tc>
          <w:tcPr>
            <w:tcW w:w="15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川崎</w:t>
            </w:r>
            <w:r>
              <w:rPr>
                <w:rFonts w:hint="default" w:ascii="ＭＳ Ｐゴシック" w:hAnsi="ＭＳ Ｐゴシック" w:eastAsia="ＭＳ Ｐゴシック"/>
                <w:b w:val="0"/>
                <w:i w:val="0"/>
                <w:smallCaps w:val="0"/>
                <w:sz w:val="22"/>
              </w:rPr>
              <w:t>(</w:t>
            </w:r>
            <w:r>
              <w:rPr>
                <w:rFonts w:hint="default" w:ascii="ＭＳ Ｐゴシック" w:hAnsi="ＭＳ Ｐゴシック" w:eastAsia="ＭＳ Ｐゴシック"/>
                <w:b w:val="0"/>
                <w:i w:val="0"/>
                <w:smallCaps w:val="0"/>
                <w:sz w:val="22"/>
              </w:rPr>
              <w:t>昼）</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49</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47</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48</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46</w:t>
            </w:r>
          </w:p>
        </w:tc>
      </w:tr>
      <w:tr>
        <w:trPr>
          <w:trHeight w:val="270" w:hRule="atLeast"/>
        </w:trPr>
        <w:tc>
          <w:tcPr>
            <w:tcW w:w="1084"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Ｐゴシック" w:hAnsi="ＭＳ Ｐゴシック" w:eastAsia="ＭＳ Ｐゴシック"/>
                <w:b w:val="0"/>
                <w:i w:val="0"/>
                <w:smallCaps w:val="0"/>
                <w:sz w:val="22"/>
              </w:rPr>
            </w:pPr>
          </w:p>
        </w:tc>
        <w:tc>
          <w:tcPr>
            <w:tcW w:w="15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山北（夜）</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42</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38</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36</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37</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37</w:t>
            </w:r>
          </w:p>
        </w:tc>
      </w:tr>
      <w:tr>
        <w:trPr>
          <w:trHeight w:val="270" w:hRule="atLeast"/>
        </w:trPr>
        <w:tc>
          <w:tcPr>
            <w:tcW w:w="1084"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Ｐゴシック" w:hAnsi="ＭＳ Ｐゴシック" w:eastAsia="ＭＳ Ｐゴシック"/>
                <w:b w:val="0"/>
                <w:i w:val="0"/>
                <w:smallCaps w:val="0"/>
                <w:sz w:val="22"/>
              </w:rPr>
            </w:pPr>
          </w:p>
        </w:tc>
        <w:tc>
          <w:tcPr>
            <w:tcW w:w="15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林田（夜）</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39</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w:t>
            </w:r>
          </w:p>
        </w:tc>
      </w:tr>
      <w:tr>
        <w:trPr>
          <w:trHeight w:val="270" w:hRule="atLeast"/>
        </w:trPr>
        <w:tc>
          <w:tcPr>
            <w:tcW w:w="1084"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Ｐゴシック" w:hAnsi="ＭＳ Ｐゴシック" w:eastAsia="ＭＳ Ｐゴシック"/>
                <w:b w:val="0"/>
                <w:i w:val="0"/>
                <w:smallCaps w:val="0"/>
                <w:sz w:val="22"/>
              </w:rPr>
            </w:pPr>
          </w:p>
        </w:tc>
        <w:tc>
          <w:tcPr>
            <w:tcW w:w="15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神戸（夜）</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41</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42</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42</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42</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38</w:t>
            </w:r>
          </w:p>
        </w:tc>
      </w:tr>
      <w:tr>
        <w:trPr>
          <w:trHeight w:val="270" w:hRule="atLeast"/>
        </w:trPr>
        <w:tc>
          <w:tcPr>
            <w:tcW w:w="1084"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Ｐゴシック" w:hAnsi="ＭＳ Ｐゴシック" w:eastAsia="ＭＳ Ｐゴシック"/>
                <w:b w:val="0"/>
                <w:i w:val="0"/>
                <w:smallCaps w:val="0"/>
                <w:sz w:val="22"/>
              </w:rPr>
            </w:pPr>
          </w:p>
        </w:tc>
        <w:tc>
          <w:tcPr>
            <w:tcW w:w="15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川崎（夜）</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44</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44</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39</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38</w:t>
            </w:r>
          </w:p>
        </w:tc>
      </w:tr>
    </w:tbl>
    <w:p>
      <w:pPr>
        <w:pStyle w:val="0"/>
        <w:jc w:val="left"/>
        <w:rPr>
          <w:rFonts w:hint="default" w:ascii="HG丸ｺﾞｼｯｸM-PRO" w:hAnsi="HG丸ｺﾞｼｯｸM-PRO" w:eastAsia="HG丸ｺﾞｼｯｸM-PRO"/>
          <w:sz w:val="22"/>
        </w:rPr>
      </w:pPr>
      <w:r>
        <w:rPr>
          <w:rFonts w:hint="eastAsia" w:ascii="ＭＳ 明朝" w:hAnsi="ＭＳ 明朝" w:eastAsia="ＭＳ 明朝"/>
          <w:sz w:val="22"/>
        </w:rPr>
        <w:t>➣</w:t>
      </w:r>
      <w:r>
        <w:rPr>
          <w:rFonts w:hint="eastAsia" w:ascii="HG丸ｺﾞｼｯｸM-PRO" w:hAnsi="HG丸ｺﾞｼｯｸM-PRO" w:eastAsia="HG丸ｺﾞｼｯｸM-PRO"/>
          <w:sz w:val="22"/>
        </w:rPr>
        <w:t>　環境基準を全て下回っている</w:t>
      </w:r>
    </w:p>
    <w:p>
      <w:pPr>
        <w:pStyle w:val="0"/>
        <w:jc w:val="left"/>
        <w:rPr>
          <w:rFonts w:hint="default" w:ascii="HG丸ｺﾞｼｯｸM-PRO" w:hAnsi="HG丸ｺﾞｼｯｸM-PRO" w:eastAsia="HG丸ｺﾞｼｯｸM-PRO"/>
          <w:sz w:val="22"/>
        </w:rPr>
      </w:pPr>
      <w:r>
        <w:rPr>
          <w:rFonts w:hint="eastAsia"/>
        </w:rPr>
        <w:drawing>
          <wp:inline distT="0" distB="0" distL="203200" distR="203200">
            <wp:extent cx="5759450" cy="2900045"/>
            <wp:effectExtent l="0" t="0" r="0" b="0"/>
            <wp:docPr id="1096" name="オブジェクト 0"/>
            <a:graphic xmlns:a="http://schemas.openxmlformats.org/drawingml/2006/main">
              <a:graphicData uri="http://schemas.openxmlformats.org/drawingml/2006/picture">
                <pic:pic xmlns:pic="http://schemas.openxmlformats.org/drawingml/2006/picture">
                  <pic:nvPicPr>
                    <pic:cNvPr id="1096" name="オブジェクト 0"/>
                    <pic:cNvPicPr>
                      <a:picLocks noChangeAspect="1"/>
                    </pic:cNvPicPr>
                  </pic:nvPicPr>
                  <pic:blipFill>
                    <a:blip r:embed="rId40"/>
                    <a:stretch>
                      <a:fillRect/>
                    </a:stretch>
                  </pic:blipFill>
                  <pic:spPr>
                    <a:xfrm>
                      <a:off x="0" y="0"/>
                      <a:ext cx="5759450" cy="2900045"/>
                    </a:xfrm>
                    <a:prstGeom prst="rect">
                      <a:avLst/>
                    </a:prstGeom>
                  </pic:spPr>
                </pic:pic>
              </a:graphicData>
            </a:graphic>
          </wp:inline>
        </w:drawing>
      </w:r>
    </w:p>
    <w:p>
      <w:pPr>
        <w:pStyle w:val="0"/>
        <w:ind w:firstLine="220" w:firstLineChars="100"/>
        <w:jc w:val="left"/>
        <w:rPr>
          <w:rFonts w:hint="default" w:ascii="HG丸ｺﾞｼｯｸM-PRO" w:hAnsi="HG丸ｺﾞｼｯｸM-PRO" w:eastAsia="HG丸ｺﾞｼｯｸM-PRO"/>
          <w:sz w:val="24"/>
        </w:rPr>
      </w:pPr>
      <w:r>
        <w:rPr>
          <w:rFonts w:hint="eastAsia" w:ascii="ＭＳ 明朝" w:hAnsi="ＭＳ 明朝" w:eastAsia="ＭＳ 明朝"/>
          <w:sz w:val="22"/>
        </w:rPr>
        <w:t>➣</w:t>
      </w:r>
      <w:r>
        <w:rPr>
          <w:rFonts w:hint="eastAsia" w:ascii="HG丸ｺﾞｼｯｸM-PRO" w:hAnsi="HG丸ｺﾞｼｯｸM-PRO" w:eastAsia="HG丸ｺﾞｼｯｸM-PRO"/>
          <w:sz w:val="22"/>
        </w:rPr>
        <w:t>　環境基準を全て下回っている</w:t>
      </w:r>
      <w:r>
        <w:rPr>
          <w:rFonts w:hint="default" w:ascii="HG丸ｺﾞｼｯｸM-PRO" w:hAnsi="HG丸ｺﾞｼｯｸM-PRO" w:eastAsia="HG丸ｺﾞｼｯｸM-PRO"/>
          <w:sz w:val="24"/>
        </w:rPr>
        <w:br w:type="page"/>
      </w:r>
    </w:p>
    <w:p>
      <w:pPr>
        <w:pStyle w:val="0"/>
        <w:widowControl w:val="1"/>
        <w:jc w:val="center"/>
        <w:rPr>
          <w:rFonts w:hint="default" w:ascii="HG丸ｺﾞｼｯｸM-PRO" w:hAnsi="HG丸ｺﾞｼｯｸM-PRO" w:eastAsia="HG丸ｺﾞｼｯｸM-PRO"/>
          <w:sz w:val="24"/>
        </w:rPr>
      </w:pPr>
      <w:r>
        <w:rPr>
          <w:rFonts w:hint="eastAsia"/>
        </w:rPr>
        <w:drawing>
          <wp:inline distT="0" distB="0" distL="203200" distR="203200">
            <wp:extent cx="5759450" cy="2732405"/>
            <wp:effectExtent l="0" t="0" r="0" b="0"/>
            <wp:docPr id="1097" name="オブジェクト 0"/>
            <a:graphic xmlns:a="http://schemas.openxmlformats.org/drawingml/2006/main">
              <a:graphicData uri="http://schemas.openxmlformats.org/drawingml/2006/picture">
                <pic:pic xmlns:pic="http://schemas.openxmlformats.org/drawingml/2006/picture">
                  <pic:nvPicPr>
                    <pic:cNvPr id="1097" name="オブジェクト 0"/>
                    <pic:cNvPicPr>
                      <a:picLocks noChangeAspect="1"/>
                    </pic:cNvPicPr>
                  </pic:nvPicPr>
                  <pic:blipFill>
                    <a:blip r:embed="rId41"/>
                    <a:stretch>
                      <a:fillRect/>
                    </a:stretch>
                  </pic:blipFill>
                  <pic:spPr>
                    <a:xfrm>
                      <a:off x="0" y="0"/>
                      <a:ext cx="5759450" cy="2732405"/>
                    </a:xfrm>
                    <a:prstGeom prst="rect">
                      <a:avLst/>
                    </a:prstGeom>
                  </pic:spPr>
                </pic:pic>
              </a:graphicData>
            </a:graphic>
          </wp:inline>
        </w:drawing>
      </w:r>
    </w:p>
    <w:p>
      <w:pPr>
        <w:pStyle w:val="0"/>
        <w:widowControl w:val="1"/>
        <w:jc w:val="center"/>
        <w:rPr>
          <w:rFonts w:hint="default" w:ascii="HG丸ｺﾞｼｯｸM-PRO" w:hAnsi="HG丸ｺﾞｼｯｸM-PRO" w:eastAsia="HG丸ｺﾞｼｯｸM-PRO"/>
          <w:sz w:val="24"/>
        </w:rPr>
      </w:pPr>
      <w:r>
        <w:rPr>
          <w:rFonts w:hint="eastAsia"/>
        </w:rPr>
        <w:drawing>
          <wp:inline distT="0" distB="0" distL="203200" distR="203200">
            <wp:extent cx="5759450" cy="2736850"/>
            <wp:effectExtent l="0" t="0" r="0" b="0"/>
            <wp:docPr id="1098" name="オブジェクト 0"/>
            <a:graphic xmlns:a="http://schemas.openxmlformats.org/drawingml/2006/main">
              <a:graphicData uri="http://schemas.openxmlformats.org/drawingml/2006/picture">
                <pic:pic xmlns:pic="http://schemas.openxmlformats.org/drawingml/2006/picture">
                  <pic:nvPicPr>
                    <pic:cNvPr id="1098" name="オブジェクト 0"/>
                    <pic:cNvPicPr>
                      <a:picLocks noChangeAspect="1"/>
                    </pic:cNvPicPr>
                  </pic:nvPicPr>
                  <pic:blipFill>
                    <a:blip r:embed="rId42"/>
                    <a:stretch>
                      <a:fillRect/>
                    </a:stretch>
                  </pic:blipFill>
                  <pic:spPr>
                    <a:xfrm>
                      <a:off x="0" y="0"/>
                      <a:ext cx="5759450" cy="2736850"/>
                    </a:xfrm>
                    <a:prstGeom prst="rect">
                      <a:avLst/>
                    </a:prstGeom>
                  </pic:spPr>
                </pic:pic>
              </a:graphicData>
            </a:graphic>
          </wp:inline>
        </w:drawing>
      </w:r>
    </w:p>
    <w:p>
      <w:pPr>
        <w:pStyle w:val="0"/>
        <w:widowControl w:val="1"/>
        <w:jc w:val="center"/>
        <w:rPr>
          <w:rFonts w:hint="default" w:ascii="HG丸ｺﾞｼｯｸM-PRO" w:hAnsi="HG丸ｺﾞｼｯｸM-PRO" w:eastAsia="HG丸ｺﾞｼｯｸM-PRO"/>
          <w:sz w:val="24"/>
        </w:rPr>
      </w:pPr>
      <w:r>
        <w:rPr>
          <w:rFonts w:hint="eastAsia"/>
        </w:rPr>
        <w:drawing>
          <wp:inline distT="0" distB="0" distL="203200" distR="203200">
            <wp:extent cx="5759450" cy="2292350"/>
            <wp:effectExtent l="0" t="0" r="0" b="0"/>
            <wp:docPr id="1099" name="オブジェクト 0"/>
            <a:graphic xmlns:a="http://schemas.openxmlformats.org/drawingml/2006/main">
              <a:graphicData uri="http://schemas.openxmlformats.org/drawingml/2006/picture">
                <pic:pic xmlns:pic="http://schemas.openxmlformats.org/drawingml/2006/picture">
                  <pic:nvPicPr>
                    <pic:cNvPr id="1099" name="オブジェクト 0"/>
                    <pic:cNvPicPr>
                      <a:picLocks noChangeAspect="1"/>
                    </pic:cNvPicPr>
                  </pic:nvPicPr>
                  <pic:blipFill>
                    <a:blip r:embed="rId43"/>
                    <a:stretch>
                      <a:fillRect/>
                    </a:stretch>
                  </pic:blipFill>
                  <pic:spPr>
                    <a:xfrm>
                      <a:off x="0" y="0"/>
                      <a:ext cx="5759450" cy="2292350"/>
                    </a:xfrm>
                    <a:prstGeom prst="rect">
                      <a:avLst/>
                    </a:prstGeom>
                  </pic:spPr>
                </pic:pic>
              </a:graphicData>
            </a:graphic>
          </wp:inline>
        </w:drawing>
      </w:r>
    </w:p>
    <w:p>
      <w:pPr>
        <w:pStyle w:val="0"/>
        <w:widowControl w:val="1"/>
        <w:ind w:firstLine="220" w:firstLineChars="100"/>
        <w:jc w:val="left"/>
        <w:rPr>
          <w:rFonts w:hint="default" w:ascii="HG丸ｺﾞｼｯｸM-PRO" w:hAnsi="HG丸ｺﾞｼｯｸM-PRO" w:eastAsia="HG丸ｺﾞｼｯｸM-PRO"/>
          <w:sz w:val="22"/>
        </w:rPr>
      </w:pPr>
    </w:p>
    <w:p>
      <w:pPr>
        <w:pStyle w:val="0"/>
        <w:widowControl w:val="1"/>
        <w:ind w:firstLine="220" w:firstLineChars="100"/>
        <w:jc w:val="left"/>
        <w:rPr>
          <w:rFonts w:hint="default" w:ascii="HG丸ｺﾞｼｯｸM-PRO" w:hAnsi="HG丸ｺﾞｼｯｸM-PRO" w:eastAsia="HG丸ｺﾞｼｯｸM-PRO"/>
          <w:sz w:val="22"/>
        </w:rPr>
      </w:pPr>
      <w:r>
        <w:rPr>
          <w:rFonts w:hint="eastAsia" w:ascii="ＭＳ 明朝" w:hAnsi="ＭＳ 明朝" w:eastAsia="ＭＳ 明朝"/>
          <w:sz w:val="22"/>
        </w:rPr>
        <w:t>➣</w:t>
      </w:r>
      <w:r>
        <w:rPr>
          <w:rFonts w:hint="eastAsia" w:ascii="HG丸ｺﾞｼｯｸM-PRO" w:hAnsi="HG丸ｺﾞｼｯｸM-PRO" w:eastAsia="HG丸ｺﾞｼｯｸM-PRO"/>
          <w:sz w:val="22"/>
        </w:rPr>
        <w:t>「類型なし」については環境基準なし</w:t>
      </w:r>
      <w:r>
        <w:rPr>
          <w:rFonts w:hint="default" w:ascii="HG丸ｺﾞｼｯｸM-PRO" w:hAnsi="HG丸ｺﾞｼｯｸM-PRO" w:eastAsia="HG丸ｺﾞｼｯｸM-PRO"/>
          <w:sz w:val="24"/>
        </w:rPr>
        <w:br w:type="page"/>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②道路に面する地域</w:t>
      </w:r>
    </w:p>
    <w:p>
      <w:pPr>
        <w:pStyle w:val="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※観測地が年度で変更しているため、グラフに数値のない場合がある。</w:t>
      </w:r>
    </w:p>
    <w:p>
      <w:pPr>
        <w:pStyle w:val="0"/>
        <w:jc w:val="center"/>
        <w:rPr>
          <w:rFonts w:hint="default" w:ascii="HG丸ｺﾞｼｯｸM-PRO" w:hAnsi="HG丸ｺﾞｼｯｸM-PRO" w:eastAsia="HG丸ｺﾞｼｯｸM-PRO"/>
        </w:rPr>
      </w:pPr>
      <w:r>
        <w:rPr>
          <w:rFonts w:hint="eastAsia"/>
        </w:rPr>
        <w:drawing>
          <wp:inline distT="0" distB="0" distL="203200" distR="203200">
            <wp:extent cx="5759450" cy="2879090"/>
            <wp:effectExtent l="0" t="0" r="0" b="0"/>
            <wp:docPr id="1100" name="オブジェクト 0"/>
            <a:graphic xmlns:a="http://schemas.openxmlformats.org/drawingml/2006/main">
              <a:graphicData uri="http://schemas.openxmlformats.org/drawingml/2006/picture">
                <pic:pic xmlns:pic="http://schemas.openxmlformats.org/drawingml/2006/picture">
                  <pic:nvPicPr>
                    <pic:cNvPr id="1100" name="オブジェクト 0"/>
                    <pic:cNvPicPr>
                      <a:picLocks noChangeAspect="1"/>
                    </pic:cNvPicPr>
                  </pic:nvPicPr>
                  <pic:blipFill>
                    <a:blip r:embed="rId44"/>
                    <a:stretch>
                      <a:fillRect/>
                    </a:stretch>
                  </pic:blipFill>
                  <pic:spPr>
                    <a:xfrm>
                      <a:off x="0" y="0"/>
                      <a:ext cx="5759450" cy="2879090"/>
                    </a:xfrm>
                    <a:prstGeom prst="rect">
                      <a:avLst/>
                    </a:prstGeom>
                  </pic:spPr>
                </pic:pic>
              </a:graphicData>
            </a:graphic>
          </wp:inline>
        </w:drawing>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4"/>
        </w:rPr>
        <w:t>　</w:t>
      </w:r>
      <w:r>
        <w:rPr>
          <w:rFonts w:hint="eastAsia" w:ascii="ＭＳ 明朝" w:hAnsi="ＭＳ 明朝" w:eastAsia="ＭＳ 明朝"/>
          <w:sz w:val="22"/>
        </w:rPr>
        <w:t>➣</w:t>
      </w:r>
      <w:r>
        <w:rPr>
          <w:rFonts w:hint="eastAsia" w:ascii="HG丸ｺﾞｼｯｸM-PRO" w:hAnsi="HG丸ｺﾞｼｯｸM-PRO" w:eastAsia="HG丸ｺﾞｼｯｸM-PRO"/>
          <w:sz w:val="22"/>
        </w:rPr>
        <w:t>　環境基準を全て下回っている</w:t>
      </w:r>
    </w:p>
    <w:p>
      <w:pPr>
        <w:pStyle w:val="0"/>
        <w:jc w:val="center"/>
        <w:rPr>
          <w:rFonts w:hint="default" w:ascii="HG丸ｺﾞｼｯｸM-PRO" w:hAnsi="HG丸ｺﾞｼｯｸM-PRO" w:eastAsia="HG丸ｺﾞｼｯｸM-PRO"/>
          <w:sz w:val="22"/>
        </w:rPr>
      </w:pPr>
      <w:r>
        <w:rPr>
          <w:rFonts w:hint="eastAsia"/>
        </w:rPr>
        <w:drawing>
          <wp:inline distT="0" distB="0" distL="203200" distR="203200">
            <wp:extent cx="5759450" cy="2901315"/>
            <wp:effectExtent l="0" t="0" r="0" b="0"/>
            <wp:docPr id="1101" name="オブジェクト 0"/>
            <a:graphic xmlns:a="http://schemas.openxmlformats.org/drawingml/2006/main">
              <a:graphicData uri="http://schemas.openxmlformats.org/drawingml/2006/picture">
                <pic:pic xmlns:pic="http://schemas.openxmlformats.org/drawingml/2006/picture">
                  <pic:nvPicPr>
                    <pic:cNvPr id="1101" name="オブジェクト 0"/>
                    <pic:cNvPicPr>
                      <a:picLocks noChangeAspect="1"/>
                    </pic:cNvPicPr>
                  </pic:nvPicPr>
                  <pic:blipFill>
                    <a:blip r:embed="rId45"/>
                    <a:stretch>
                      <a:fillRect/>
                    </a:stretch>
                  </pic:blipFill>
                  <pic:spPr>
                    <a:xfrm>
                      <a:off x="0" y="0"/>
                      <a:ext cx="5759450" cy="2901315"/>
                    </a:xfrm>
                    <a:prstGeom prst="rect">
                      <a:avLst/>
                    </a:prstGeom>
                  </pic:spPr>
                </pic:pic>
              </a:graphicData>
            </a:graphic>
          </wp:inline>
        </w:drawing>
      </w:r>
    </w:p>
    <w:p>
      <w:pPr>
        <w:pStyle w:val="0"/>
        <w:jc w:val="center"/>
        <w:rPr>
          <w:rFonts w:hint="default" w:ascii="HG丸ｺﾞｼｯｸM-PRO" w:hAnsi="HG丸ｺﾞｼｯｸM-PRO" w:eastAsia="HG丸ｺﾞｼｯｸM-PRO"/>
          <w:sz w:val="24"/>
        </w:rPr>
      </w:pPr>
    </w:p>
    <w:tbl>
      <w:tblPr>
        <w:tblStyle w:val="11"/>
        <w:tblpPr w:leftFromText="0" w:rightFromText="0" w:topFromText="0" w:bottomFromText="0" w:vertAnchor="text" w:horzAnchor="margin" w:tblpX="656" w:tblpY="140"/>
        <w:tblOverlap w:val="never"/>
        <w:tblW w:w="82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firstRow="1" w:lastRow="0" w:firstColumn="1" w:lastColumn="0" w:noHBand="0" w:noVBand="1" w:val="04A0"/>
      </w:tblPr>
      <w:tblGrid>
        <w:gridCol w:w="1479"/>
        <w:gridCol w:w="1640"/>
        <w:gridCol w:w="1018"/>
        <w:gridCol w:w="1018"/>
        <w:gridCol w:w="1019"/>
        <w:gridCol w:w="1018"/>
        <w:gridCol w:w="1018"/>
      </w:tblGrid>
      <w:tr>
        <w:trPr>
          <w:trHeight w:val="270" w:hRule="atLeast"/>
        </w:trPr>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BFBFBF"/>
            <w:tcMar>
              <w:top w:w="0" w:type="dxa"/>
              <w:left w:w="5" w:type="dxa"/>
              <w:bottom w:w="0" w:type="dxa"/>
              <w:right w:w="5" w:type="dxa"/>
            </w:tcMar>
            <w:vAlign w:val="center"/>
          </w:tcPr>
          <w:p>
            <w:pPr>
              <w:pStyle w:val="0"/>
              <w:shd w:val="clear" w:color="auto" w:fill="BFBFBF"/>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道路</w:t>
            </w:r>
          </w:p>
        </w:tc>
        <w:tc>
          <w:tcPr>
            <w:tcW w:w="1740" w:type="dxa"/>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fill="BFBFBF"/>
            <w:tcMar>
              <w:top w:w="0" w:type="dxa"/>
              <w:left w:w="5" w:type="dxa"/>
              <w:bottom w:w="0" w:type="dxa"/>
              <w:right w:w="5" w:type="dxa"/>
            </w:tcMar>
            <w:vAlign w:val="center"/>
          </w:tcPr>
          <w:p>
            <w:pPr>
              <w:pStyle w:val="0"/>
              <w:shd w:val="clear" w:color="auto" w:fill="BFBFBF"/>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地域</w:t>
            </w:r>
          </w:p>
        </w:tc>
        <w:tc>
          <w:tcPr>
            <w:tcW w:w="1080" w:type="dxa"/>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fill="BFBFBF"/>
            <w:tcMar>
              <w:top w:w="0" w:type="dxa"/>
              <w:left w:w="5" w:type="dxa"/>
              <w:bottom w:w="0" w:type="dxa"/>
              <w:right w:w="5" w:type="dxa"/>
            </w:tcMar>
            <w:vAlign w:val="center"/>
          </w:tcPr>
          <w:p>
            <w:pPr>
              <w:pStyle w:val="0"/>
              <w:shd w:val="clear" w:color="auto" w:fill="BFBFBF"/>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H26</w:t>
            </w:r>
          </w:p>
        </w:tc>
        <w:tc>
          <w:tcPr>
            <w:tcW w:w="1080" w:type="dxa"/>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fill="BFBFBF"/>
            <w:tcMar>
              <w:top w:w="0" w:type="dxa"/>
              <w:left w:w="5" w:type="dxa"/>
              <w:bottom w:w="0" w:type="dxa"/>
              <w:right w:w="5" w:type="dxa"/>
            </w:tcMar>
            <w:vAlign w:val="center"/>
          </w:tcPr>
          <w:p>
            <w:pPr>
              <w:pStyle w:val="0"/>
              <w:shd w:val="clear" w:color="auto" w:fill="BFBFBF"/>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H27</w:t>
            </w:r>
          </w:p>
        </w:tc>
        <w:tc>
          <w:tcPr>
            <w:tcW w:w="1080" w:type="dxa"/>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fill="BFBFBF"/>
            <w:tcMar>
              <w:top w:w="0" w:type="dxa"/>
              <w:left w:w="5" w:type="dxa"/>
              <w:bottom w:w="0" w:type="dxa"/>
              <w:right w:w="5" w:type="dxa"/>
            </w:tcMar>
            <w:vAlign w:val="center"/>
          </w:tcPr>
          <w:p>
            <w:pPr>
              <w:pStyle w:val="0"/>
              <w:shd w:val="clear" w:color="auto" w:fill="BFBFBF"/>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H28</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BFBFBF"/>
            <w:tcMar>
              <w:top w:w="0" w:type="dxa"/>
              <w:left w:w="5" w:type="dxa"/>
              <w:bottom w:w="0" w:type="dxa"/>
              <w:right w:w="5" w:type="dxa"/>
            </w:tcMar>
            <w:vAlign w:val="center"/>
          </w:tcPr>
          <w:p>
            <w:pPr>
              <w:pStyle w:val="0"/>
              <w:shd w:val="clear" w:color="auto" w:fill="BFBFBF"/>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H29</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BFBFBF"/>
            <w:tcMar>
              <w:top w:w="0" w:type="dxa"/>
              <w:left w:w="5" w:type="dxa"/>
              <w:bottom w:w="0" w:type="dxa"/>
              <w:right w:w="5" w:type="dxa"/>
            </w:tcMar>
            <w:vAlign w:val="center"/>
          </w:tcPr>
          <w:p>
            <w:pPr>
              <w:pStyle w:val="0"/>
              <w:shd w:val="clear" w:color="auto" w:fill="BFBFBF"/>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H30</w:t>
            </w:r>
          </w:p>
        </w:tc>
      </w:tr>
      <w:tr>
        <w:trPr>
          <w:trHeight w:val="270" w:hRule="atLeast"/>
        </w:trPr>
        <w:tc>
          <w:tcPr>
            <w:tcW w:w="1080"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幹線道路（国道）</w:t>
            </w: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181</w:t>
            </w:r>
            <w:r>
              <w:rPr>
                <w:rFonts w:hint="default" w:ascii="ＭＳ Ｐゴシック" w:hAnsi="ＭＳ Ｐゴシック" w:eastAsia="ＭＳ Ｐゴシック"/>
                <w:b w:val="0"/>
                <w:i w:val="0"/>
                <w:smallCaps w:val="0"/>
                <w:sz w:val="22"/>
              </w:rPr>
              <w:t>号（昼）</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67</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64</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59</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59</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69</w:t>
            </w:r>
          </w:p>
        </w:tc>
      </w:tr>
      <w:tr>
        <w:trPr>
          <w:trHeight w:val="270" w:hRule="atLeast"/>
        </w:trPr>
        <w:tc>
          <w:tcPr>
            <w:tcW w:w="1570"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Ｐゴシック" w:hAnsi="ＭＳ Ｐゴシック" w:eastAsia="ＭＳ Ｐゴシック"/>
                <w:b w:val="0"/>
                <w:i w:val="0"/>
                <w:smallCaps w:val="0"/>
                <w:sz w:val="22"/>
              </w:rPr>
            </w:pP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179</w:t>
            </w:r>
            <w:r>
              <w:rPr>
                <w:rFonts w:hint="default" w:ascii="ＭＳ Ｐゴシック" w:hAnsi="ＭＳ Ｐゴシック" w:eastAsia="ＭＳ Ｐゴシック"/>
                <w:b w:val="0"/>
                <w:i w:val="0"/>
                <w:smallCaps w:val="0"/>
                <w:sz w:val="22"/>
              </w:rPr>
              <w:t>号（昼）</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67</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64</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66</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65</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61</w:t>
            </w:r>
          </w:p>
        </w:tc>
      </w:tr>
      <w:tr>
        <w:trPr>
          <w:trHeight w:val="270" w:hRule="atLeast"/>
        </w:trPr>
        <w:tc>
          <w:tcPr>
            <w:tcW w:w="1570"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Ｐゴシック" w:hAnsi="ＭＳ Ｐゴシック" w:eastAsia="ＭＳ Ｐゴシック"/>
                <w:b w:val="0"/>
                <w:i w:val="0"/>
                <w:smallCaps w:val="0"/>
                <w:sz w:val="22"/>
              </w:rPr>
            </w:pP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181</w:t>
            </w:r>
            <w:r>
              <w:rPr>
                <w:rFonts w:hint="default" w:ascii="ＭＳ Ｐゴシック" w:hAnsi="ＭＳ Ｐゴシック" w:eastAsia="ＭＳ Ｐゴシック"/>
                <w:b w:val="0"/>
                <w:i w:val="0"/>
                <w:smallCaps w:val="0"/>
                <w:sz w:val="22"/>
              </w:rPr>
              <w:t>号（夜）</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62</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57</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56</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53</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64</w:t>
            </w:r>
          </w:p>
        </w:tc>
      </w:tr>
      <w:tr>
        <w:trPr>
          <w:trHeight w:val="270" w:hRule="atLeast"/>
        </w:trPr>
        <w:tc>
          <w:tcPr>
            <w:tcW w:w="1570"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Ｐゴシック" w:hAnsi="ＭＳ Ｐゴシック" w:eastAsia="ＭＳ Ｐゴシック"/>
                <w:b w:val="0"/>
                <w:i w:val="0"/>
                <w:smallCaps w:val="0"/>
                <w:sz w:val="22"/>
              </w:rPr>
            </w:pPr>
          </w:p>
        </w:tc>
        <w:tc>
          <w:tcPr>
            <w:tcW w:w="174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179</w:t>
            </w:r>
            <w:r>
              <w:rPr>
                <w:rFonts w:hint="default" w:ascii="ＭＳ Ｐゴシック" w:hAnsi="ＭＳ Ｐゴシック" w:eastAsia="ＭＳ Ｐゴシック"/>
                <w:b w:val="0"/>
                <w:i w:val="0"/>
                <w:smallCaps w:val="0"/>
                <w:sz w:val="22"/>
              </w:rPr>
              <w:t>号（夜）</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61</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61</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61</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59</w:t>
            </w:r>
          </w:p>
        </w:tc>
        <w:tc>
          <w:tcPr>
            <w:tcW w:w="10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56</w:t>
            </w:r>
          </w:p>
        </w:tc>
      </w:tr>
    </w:tbl>
    <w:p>
      <w:pPr>
        <w:pStyle w:val="0"/>
        <w:jc w:val="center"/>
        <w:rPr>
          <w:rFonts w:hint="default" w:ascii="HG丸ｺﾞｼｯｸM-PRO" w:hAnsi="HG丸ｺﾞｼｯｸM-PRO" w:eastAsia="HG丸ｺﾞｼｯｸM-PRO"/>
          <w:sz w:val="24"/>
        </w:rPr>
      </w:pPr>
    </w:p>
    <w:p>
      <w:pPr>
        <w:pStyle w:val="0"/>
        <w:jc w:val="center"/>
        <w:rPr>
          <w:rFonts w:hint="default" w:ascii="HG丸ｺﾞｼｯｸM-PRO" w:hAnsi="HG丸ｺﾞｼｯｸM-PRO" w:eastAsia="HG丸ｺﾞｼｯｸM-PRO"/>
          <w:sz w:val="24"/>
        </w:rPr>
      </w:pPr>
    </w:p>
    <w:p>
      <w:pPr>
        <w:pStyle w:val="0"/>
        <w:jc w:val="center"/>
        <w:rPr>
          <w:rFonts w:hint="default" w:ascii="HG丸ｺﾞｼｯｸM-PRO" w:hAnsi="HG丸ｺﾞｼｯｸM-PRO" w:eastAsia="HG丸ｺﾞｼｯｸM-PRO"/>
          <w:sz w:val="24"/>
        </w:rPr>
      </w:pPr>
    </w:p>
    <w:p>
      <w:pPr>
        <w:pStyle w:val="0"/>
        <w:ind w:firstLine="440" w:firstLineChars="200"/>
        <w:rPr>
          <w:rFonts w:hint="default" w:ascii="HG丸ｺﾞｼｯｸM-PRO" w:hAnsi="HG丸ｺﾞｼｯｸM-PRO" w:eastAsia="HG丸ｺﾞｼｯｸM-PRO"/>
          <w:sz w:val="22"/>
        </w:rPr>
      </w:pPr>
    </w:p>
    <w:p>
      <w:pPr>
        <w:pStyle w:val="0"/>
        <w:ind w:firstLine="440" w:firstLineChars="200"/>
        <w:rPr>
          <w:rFonts w:hint="default" w:ascii="HG丸ｺﾞｼｯｸM-PRO" w:hAnsi="HG丸ｺﾞｼｯｸM-PRO" w:eastAsia="HG丸ｺﾞｼｯｸM-PRO"/>
          <w:sz w:val="22"/>
        </w:rPr>
      </w:pPr>
    </w:p>
    <w:p>
      <w:pPr>
        <w:pStyle w:val="0"/>
        <w:ind w:firstLine="440" w:firstLineChars="200"/>
        <w:rPr>
          <w:rFonts w:hint="default" w:ascii="HG丸ｺﾞｼｯｸM-PRO" w:hAnsi="HG丸ｺﾞｼｯｸM-PRO" w:eastAsia="HG丸ｺﾞｼｯｸM-PRO"/>
          <w:sz w:val="22"/>
        </w:rPr>
      </w:pPr>
    </w:p>
    <w:p>
      <w:pPr>
        <w:pStyle w:val="0"/>
        <w:ind w:firstLine="440" w:firstLineChars="200"/>
        <w:rPr>
          <w:rFonts w:hint="default" w:ascii="HG丸ｺﾞｼｯｸM-PRO" w:hAnsi="HG丸ｺﾞｼｯｸM-PRO" w:eastAsia="HG丸ｺﾞｼｯｸM-PRO"/>
          <w:sz w:val="22"/>
        </w:rPr>
      </w:pPr>
      <w:r>
        <w:rPr>
          <w:rFonts w:hint="eastAsia" w:ascii="ＭＳ 明朝" w:hAnsi="ＭＳ 明朝" w:eastAsia="ＭＳ 明朝"/>
          <w:sz w:val="22"/>
        </w:rPr>
        <w:t>➣</w:t>
      </w:r>
      <w:r>
        <w:rPr>
          <w:rFonts w:hint="eastAsia" w:ascii="HG丸ｺﾞｼｯｸM-PRO" w:hAnsi="HG丸ｺﾞｼｯｸM-PRO" w:eastAsia="HG丸ｺﾞｼｯｸM-PRO"/>
          <w:sz w:val="22"/>
        </w:rPr>
        <w:t>　環境基準を全て下回っている</w:t>
      </w:r>
    </w:p>
    <w:p>
      <w:pPr>
        <w:pStyle w:val="0"/>
        <w:jc w:val="center"/>
        <w:rPr>
          <w:rFonts w:hint="default" w:ascii="HG丸ｺﾞｼｯｸM-PRO" w:hAnsi="HG丸ｺﾞｼｯｸM-PRO" w:eastAsia="HG丸ｺﾞｼｯｸM-PRO"/>
          <w:sz w:val="22"/>
        </w:rPr>
      </w:pPr>
    </w:p>
    <w:p>
      <w:pPr>
        <w:pStyle w:val="0"/>
        <w:ind w:firstLine="440" w:firstLineChars="200"/>
        <w:rPr>
          <w:rFonts w:hint="default" w:ascii="HG丸ｺﾞｼｯｸM-PRO" w:hAnsi="HG丸ｺﾞｼｯｸM-PRO" w:eastAsia="HG丸ｺﾞｼｯｸM-PRO"/>
          <w:sz w:val="22"/>
        </w:rPr>
      </w:pPr>
      <w:r>
        <w:rPr>
          <w:rFonts w:hint="eastAsia" w:ascii="ＭＳ 明朝" w:hAnsi="ＭＳ 明朝" w:eastAsia="ＭＳ 明朝"/>
          <w:sz w:val="22"/>
        </w:rPr>
        <w:t>➣</w:t>
      </w:r>
      <w:r>
        <w:rPr>
          <w:rFonts w:hint="eastAsia" w:ascii="HG丸ｺﾞｼｯｸM-PRO" w:hAnsi="HG丸ｺﾞｼｯｸM-PRO" w:eastAsia="HG丸ｺﾞｼｯｸM-PRO"/>
          <w:sz w:val="22"/>
        </w:rPr>
        <w:t>　環境基準を全て下回っている</w:t>
      </w:r>
    </w:p>
    <w:p>
      <w:pPr>
        <w:pStyle w:val="0"/>
        <w:jc w:val="center"/>
        <w:rPr>
          <w:rFonts w:hint="default" w:ascii="HG丸ｺﾞｼｯｸM-PRO" w:hAnsi="HG丸ｺﾞｼｯｸM-PRO" w:eastAsia="HG丸ｺﾞｼｯｸM-PRO"/>
          <w:sz w:val="24"/>
        </w:rPr>
      </w:pPr>
      <w:r>
        <w:rPr>
          <w:rFonts w:hint="eastAsia"/>
        </w:rPr>
        <w:drawing>
          <wp:inline distT="0" distB="0" distL="203200" distR="203200">
            <wp:extent cx="5759450" cy="2896870"/>
            <wp:effectExtent l="0" t="0" r="0" b="0"/>
            <wp:docPr id="1102" name="オブジェクト 0"/>
            <a:graphic xmlns:a="http://schemas.openxmlformats.org/drawingml/2006/main">
              <a:graphicData uri="http://schemas.openxmlformats.org/drawingml/2006/picture">
                <pic:pic xmlns:pic="http://schemas.openxmlformats.org/drawingml/2006/picture">
                  <pic:nvPicPr>
                    <pic:cNvPr id="1102" name="オブジェクト 0"/>
                    <pic:cNvPicPr>
                      <a:picLocks noChangeAspect="1"/>
                    </pic:cNvPicPr>
                  </pic:nvPicPr>
                  <pic:blipFill>
                    <a:blip r:embed="rId46"/>
                    <a:stretch>
                      <a:fillRect/>
                    </a:stretch>
                  </pic:blipFill>
                  <pic:spPr>
                    <a:xfrm>
                      <a:off x="0" y="0"/>
                      <a:ext cx="5759450" cy="2896870"/>
                    </a:xfrm>
                    <a:prstGeom prst="rect">
                      <a:avLst/>
                    </a:prstGeom>
                  </pic:spPr>
                </pic:pic>
              </a:graphicData>
            </a:graphic>
          </wp:inline>
        </w:drawing>
      </w:r>
    </w:p>
    <w:p>
      <w:pPr>
        <w:pStyle w:val="0"/>
        <w:jc w:val="center"/>
        <w:rPr>
          <w:rFonts w:hint="default" w:ascii="HG丸ｺﾞｼｯｸM-PRO" w:hAnsi="HG丸ｺﾞｼｯｸM-PRO" w:eastAsia="HG丸ｺﾞｼｯｸM-PRO"/>
          <w:sz w:val="24"/>
        </w:rPr>
      </w:pPr>
      <w:r>
        <w:rPr>
          <w:rFonts w:hint="eastAsia"/>
        </w:rPr>
        <w:drawing>
          <wp:inline distT="0" distB="0" distL="203200" distR="203200">
            <wp:extent cx="5759450" cy="2905760"/>
            <wp:effectExtent l="0" t="0" r="0" b="0"/>
            <wp:docPr id="1103" name="オブジェクト 0"/>
            <a:graphic xmlns:a="http://schemas.openxmlformats.org/drawingml/2006/main">
              <a:graphicData uri="http://schemas.openxmlformats.org/drawingml/2006/picture">
                <pic:pic xmlns:pic="http://schemas.openxmlformats.org/drawingml/2006/picture">
                  <pic:nvPicPr>
                    <pic:cNvPr id="1103" name="オブジェクト 0"/>
                    <pic:cNvPicPr>
                      <a:picLocks noChangeAspect="1"/>
                    </pic:cNvPicPr>
                  </pic:nvPicPr>
                  <pic:blipFill>
                    <a:blip r:embed="rId47"/>
                    <a:stretch>
                      <a:fillRect/>
                    </a:stretch>
                  </pic:blipFill>
                  <pic:spPr>
                    <a:xfrm>
                      <a:off x="0" y="0"/>
                      <a:ext cx="5759450" cy="2905760"/>
                    </a:xfrm>
                    <a:prstGeom prst="rect">
                      <a:avLst/>
                    </a:prstGeom>
                  </pic:spPr>
                </pic:pic>
              </a:graphicData>
            </a:graphic>
          </wp:inline>
        </w:drawing>
      </w:r>
    </w:p>
    <w:p>
      <w:pPr>
        <w:pStyle w:val="0"/>
        <w:ind w:firstLine="480" w:firstLineChars="200"/>
        <w:jc w:val="left"/>
        <w:rPr>
          <w:rFonts w:hint="default" w:ascii="HG丸ｺﾞｼｯｸM-PRO" w:hAnsi="HG丸ｺﾞｼｯｸM-PRO" w:eastAsia="HG丸ｺﾞｼｯｸM-PRO"/>
          <w:sz w:val="22"/>
        </w:rPr>
      </w:pPr>
      <w:r>
        <w:rPr>
          <w:rFonts w:hint="default" w:ascii="HG丸ｺﾞｼｯｸM-PRO" w:hAnsi="HG丸ｺﾞｼｯｸM-PRO" w:eastAsia="HG丸ｺﾞｼｯｸM-PRO"/>
          <w:sz w:val="24"/>
        </w:rPr>
        <mc:AlternateContent>
          <mc:Choice Requires="wps">
            <w:drawing>
              <wp:anchor distT="0" distB="0" distL="114300" distR="114300" simplePos="0" relativeHeight="51" behindDoc="0" locked="0" layoutInCell="1" hidden="0" allowOverlap="1">
                <wp:simplePos x="0" y="0"/>
                <wp:positionH relativeFrom="column">
                  <wp:posOffset>4662170</wp:posOffset>
                </wp:positionH>
                <wp:positionV relativeFrom="paragraph">
                  <wp:posOffset>2460625</wp:posOffset>
                </wp:positionV>
                <wp:extent cx="1400175" cy="314325"/>
                <wp:effectExtent l="0" t="0" r="635" b="635"/>
                <wp:wrapNone/>
                <wp:docPr id="1104" name="テキスト ボックス 2"/>
                <a:graphic xmlns:a="http://schemas.openxmlformats.org/drawingml/2006/main">
                  <a:graphicData uri="http://schemas.microsoft.com/office/word/2010/wordprocessingShape">
                    <wps:wsp>
                      <wps:cNvPr id="1104" name="テキスト ボックス 2"/>
                      <wps:cNvSpPr txBox="1">
                        <a:spLocks noChangeArrowheads="1"/>
                      </wps:cNvSpPr>
                      <wps:spPr>
                        <a:xfrm>
                          <a:off x="0" y="0"/>
                          <a:ext cx="1400175" cy="314325"/>
                        </a:xfrm>
                        <a:prstGeom prst="rect">
                          <a:avLst/>
                        </a:prstGeom>
                        <a:noFill/>
                        <a:ln w="9525">
                          <a:noFill/>
                          <a:miter lim="800000"/>
                          <a:headEnd/>
                          <a:tailEnd/>
                        </a:ln>
                      </wps:spPr>
                      <wps:txbx>
                        <w:txbxContent>
                          <w:p>
                            <w:pPr>
                              <w:pStyle w:val="0"/>
                              <w:rPr>
                                <w:rFonts w:hint="default"/>
                                <w:sz w:val="18"/>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93.75pt;mso-position-vertical-relative:text;mso-position-horizontal-relative:text;v-text-anchor:top;position:absolute;height:24.75pt;mso-wrap-distance-top:0pt;width:110.25pt;mso-wrap-distance-left:9pt;margin-left:367.1pt;z-index:51;" o:spid="_x0000_s1104" o:allowincell="t" o:allowoverlap="t" filled="f" stroked="f" strokeweight="0.75pt" o:spt="202" type="#_x0000_t202">
                <v:fill/>
                <v:stroke miterlimit="8"/>
                <v:textbox style="layout-flow:horizontal;">
                  <w:txbxContent>
                    <w:p>
                      <w:pPr>
                        <w:pStyle w:val="0"/>
                        <w:rPr>
                          <w:rFonts w:hint="default"/>
                          <w:sz w:val="18"/>
                        </w:rPr>
                      </w:pPr>
                    </w:p>
                  </w:txbxContent>
                </v:textbox>
                <v:imagedata o:title=""/>
                <w10:wrap type="none" anchorx="text" anchory="text"/>
              </v:shape>
            </w:pict>
          </mc:Fallback>
        </mc:AlternateContent>
      </w:r>
      <w:r>
        <w:rPr>
          <w:rFonts w:hint="eastAsia" w:ascii="ＭＳ 明朝" w:hAnsi="ＭＳ 明朝" w:eastAsia="ＭＳ 明朝"/>
          <w:sz w:val="22"/>
        </w:rPr>
        <w:t>➣</w:t>
      </w:r>
      <w:r>
        <w:rPr>
          <w:rFonts w:hint="eastAsia" w:ascii="HG丸ｺﾞｼｯｸM-PRO" w:hAnsi="HG丸ｺﾞｼｯｸM-PRO" w:eastAsia="HG丸ｺﾞｼｯｸM-PRO"/>
          <w:sz w:val="22"/>
        </w:rPr>
        <w:t>　環境基準を全て下回っている　</w:t>
      </w:r>
    </w:p>
    <w:p>
      <w:pPr>
        <w:pStyle w:val="0"/>
        <w:ind w:firstLine="800" w:firstLineChars="400"/>
        <w:jc w:val="left"/>
        <w:rPr>
          <w:rFonts w:hint="default" w:ascii="HG丸ｺﾞｼｯｸM-PRO" w:hAnsi="HG丸ｺﾞｼｯｸM-PRO" w:eastAsia="HG丸ｺﾞｼｯｸM-PRO"/>
        </w:rPr>
      </w:pPr>
      <w:r>
        <w:rPr>
          <w:rFonts w:hint="eastAsia" w:ascii="HG丸ｺﾞｼｯｸM-PRO" w:hAnsi="HG丸ｺﾞｼｯｸM-PRO" w:eastAsia="HG丸ｺﾞｼｯｸM-PRO"/>
          <w:sz w:val="20"/>
        </w:rPr>
        <w:t>※平成２６年度まではＣ類型であった。</w:t>
      </w:r>
    </w:p>
    <w:p>
      <w:pPr>
        <w:pStyle w:val="0"/>
        <w:rPr>
          <w:rFonts w:hint="default" w:ascii="HG丸ｺﾞｼｯｸM-PRO" w:hAnsi="HG丸ｺﾞｼｯｸM-PRO" w:eastAsia="HG丸ｺﾞｼｯｸM-PRO"/>
          <w:sz w:val="22"/>
        </w:rPr>
      </w:pPr>
    </w:p>
    <w:p>
      <w:pPr>
        <w:pStyle w:val="0"/>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sz w:val="22"/>
        </w:rPr>
        <w:t>数値については、全て「岡山県環境白書」を参照とした。</w:t>
      </w:r>
    </w:p>
    <w:p>
      <w:pPr>
        <w:pStyle w:val="0"/>
        <w:widowControl w:val="1"/>
        <w:jc w:val="left"/>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mc:AlternateContent>
          <mc:Choice Requires="wps">
            <w:drawing>
              <wp:anchor distT="0" distB="0" distL="114300" distR="114300" simplePos="0" relativeHeight="52" behindDoc="0" locked="0" layoutInCell="1" hidden="0" allowOverlap="1">
                <wp:simplePos x="0" y="0"/>
                <wp:positionH relativeFrom="column">
                  <wp:posOffset>4519295</wp:posOffset>
                </wp:positionH>
                <wp:positionV relativeFrom="paragraph">
                  <wp:posOffset>3147060</wp:posOffset>
                </wp:positionV>
                <wp:extent cx="1323975" cy="1804035"/>
                <wp:effectExtent l="0" t="0" r="635" b="635"/>
                <wp:wrapNone/>
                <wp:docPr id="1105" name="テキスト ボックス 2"/>
                <a:graphic xmlns:a="http://schemas.openxmlformats.org/drawingml/2006/main">
                  <a:graphicData uri="http://schemas.microsoft.com/office/word/2010/wordprocessingShape">
                    <wps:wsp>
                      <wps:cNvPr id="1105" name="テキスト ボックス 2"/>
                      <wps:cNvSpPr txBox="1">
                        <a:spLocks noChangeArrowheads="1"/>
                      </wps:cNvSpPr>
                      <wps:spPr>
                        <a:xfrm>
                          <a:off x="0" y="0"/>
                          <a:ext cx="1323975" cy="1804035"/>
                        </a:xfrm>
                        <a:prstGeom prst="rect">
                          <a:avLst/>
                        </a:prstGeom>
                        <a:noFill/>
                        <a:ln w="9525">
                          <a:noFill/>
                          <a:miter lim="800000"/>
                          <a:headEnd/>
                          <a:tailEnd/>
                        </a:ln>
                      </wps:spPr>
                      <wps:txbx>
                        <w:txbxContent>
                          <w:p>
                            <w:pPr>
                              <w:pStyle w:val="0"/>
                              <w:rPr>
                                <w:rFonts w:hint="default"/>
                                <w:sz w:val="18"/>
                              </w:rPr>
                            </w:pPr>
                            <w:r>
                              <w:rPr>
                                <w:rFonts w:hint="eastAsia"/>
                                <w:sz w:val="18"/>
                              </w:rPr>
                              <w:t>資料：岡山県環境白書</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247.8pt;mso-position-vertical-relative:text;mso-position-horizontal-relative:text;v-text-anchor:top;position:absolute;height:142.05000000000001pt;mso-wrap-distance-top:0pt;width:104.25pt;mso-wrap-distance-left:9pt;margin-left:355.85pt;z-index:52;" o:spid="_x0000_s1105" o:allowincell="t" o:allowoverlap="t" filled="f" stroked="f" strokeweight="0.75pt" o:spt="202" type="#_x0000_t202">
                <v:fill/>
                <v:stroke miterlimit="8"/>
                <v:textbox style="layout-flow:horizontal;mso-fit-shape-to-text:t;">
                  <w:txbxContent>
                    <w:p>
                      <w:pPr>
                        <w:pStyle w:val="0"/>
                        <w:rPr>
                          <w:rFonts w:hint="default"/>
                          <w:sz w:val="18"/>
                        </w:rPr>
                      </w:pPr>
                      <w:r>
                        <w:rPr>
                          <w:rFonts w:hint="eastAsia"/>
                          <w:sz w:val="18"/>
                        </w:rPr>
                        <w:t>資料：岡山県環境白書</w:t>
                      </w:r>
                    </w:p>
                  </w:txbxContent>
                </v:textbox>
                <v:imagedata o:title=""/>
                <w10:wrap type="none" anchorx="text" anchory="text"/>
              </v:shape>
            </w:pict>
          </mc:Fallback>
        </mc:AlternateContent>
      </w:r>
      <w:r>
        <w:rPr>
          <w:rFonts w:hint="default" w:ascii="HG丸ｺﾞｼｯｸM-PRO" w:hAnsi="HG丸ｺﾞｼｯｸM-PRO" w:eastAsia="HG丸ｺﾞｼｯｸM-PRO"/>
          <w:sz w:val="24"/>
        </w:rPr>
        <w:br w:type="page"/>
      </w:r>
    </w:p>
    <w:p>
      <w:pPr>
        <w:pStyle w:val="0"/>
        <w:rPr>
          <w:rFonts w:hint="default" w:ascii="HG丸ｺﾞｼｯｸM-PRO" w:hAnsi="HG丸ｺﾞｼｯｸM-PRO" w:eastAsia="HG丸ｺﾞｼｯｸM-PRO"/>
          <w:sz w:val="24"/>
          <w:u w:val="single" w:color="auto"/>
        </w:rPr>
      </w:pPr>
      <w:r>
        <w:rPr>
          <w:rFonts w:hint="eastAsia" w:ascii="HG丸ｺﾞｼｯｸM-PRO" w:hAnsi="HG丸ｺﾞｼｯｸM-PRO" w:eastAsia="HG丸ｺﾞｼｯｸM-PRO"/>
          <w:sz w:val="24"/>
          <w:u w:val="single" w:color="auto"/>
        </w:rPr>
        <w:t>（３）水質</w:t>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rPr>
        <w:t>　</w:t>
      </w:r>
      <w:r>
        <w:rPr>
          <w:rFonts w:hint="eastAsia" w:ascii="HG丸ｺﾞｼｯｸM-PRO" w:hAnsi="HG丸ｺﾞｼｯｸM-PRO" w:eastAsia="HG丸ｺﾞｼｯｸM-PRO"/>
          <w:sz w:val="22"/>
        </w:rPr>
        <w:t>◆水質汚濁に係る環境基準</w:t>
      </w:r>
    </w:p>
    <w:tbl>
      <w:tblPr>
        <w:tblStyle w:val="11"/>
        <w:tblW w:w="10042"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99" w:type="dxa"/>
          <w:right w:w="99" w:type="dxa"/>
        </w:tblCellMar>
        <w:tblLook w:firstRow="0" w:lastRow="0" w:firstColumn="0" w:lastColumn="0" w:noHBand="0" w:noVBand="0" w:val="0000"/>
      </w:tblPr>
      <w:tblGrid>
        <w:gridCol w:w="727"/>
        <w:gridCol w:w="1432"/>
        <w:gridCol w:w="1289"/>
        <w:gridCol w:w="1289"/>
        <w:gridCol w:w="1349"/>
        <w:gridCol w:w="1289"/>
        <w:gridCol w:w="1371"/>
        <w:gridCol w:w="1296"/>
      </w:tblGrid>
      <w:tr>
        <w:trPr>
          <w:trHeight w:val="270" w:hRule="atLeast"/>
        </w:trPr>
        <w:tc>
          <w:tcPr>
            <w:tcW w:w="720" w:type="dxa"/>
            <w:vMerge w:val="restart"/>
            <w:tcBorders>
              <w:top w:val="none" w:color="auto" w:sz="0" w:space="0"/>
              <w:left w:val="none" w:color="auto" w:sz="0" w:space="0"/>
              <w:bottom w:val="none" w:color="auto" w:sz="0" w:space="0"/>
              <w:right w:val="none" w:color="auto" w:sz="0" w:space="0"/>
              <w:tl2br w:val="nil"/>
              <w:tr2bl w:val="nil"/>
            </w:tcBorders>
            <w:shd w:val="clear" w:color="auto" w:themeFill="background1" w:themeFillTint="FF" w:themeFillShade="BF"/>
            <w:vAlign w:val="top"/>
          </w:tcPr>
          <w:p>
            <w:pPr>
              <w:pStyle w:val="0"/>
              <w:spacing w:line="0" w:lineRule="atLeast"/>
              <w:jc w:val="left"/>
              <w:rPr>
                <w:rFonts w:hint="default" w:asciiTheme="majorEastAsia" w:hAnsiTheme="majorEastAsia" w:eastAsiaTheme="majorEastAsia"/>
                <w:sz w:val="16"/>
              </w:rPr>
            </w:pPr>
            <w:r>
              <w:rPr>
                <w:rFonts w:hint="eastAsia" w:asciiTheme="majorEastAsia" w:hAnsiTheme="majorEastAsia" w:eastAsiaTheme="majorEastAsia"/>
              </w:rPr>
              <mc:AlternateContent>
                <mc:Choice Requires="wps">
                  <w:drawing>
                    <wp:anchor distT="0" distB="0" distL="114300" distR="114300" simplePos="0" relativeHeight="53" behindDoc="0" locked="0" layoutInCell="1" hidden="0" allowOverlap="1">
                      <wp:simplePos x="0" y="0"/>
                      <wp:positionH relativeFrom="column">
                        <wp:posOffset>-13335</wp:posOffset>
                      </wp:positionH>
                      <wp:positionV relativeFrom="paragraph">
                        <wp:posOffset>-8890</wp:posOffset>
                      </wp:positionV>
                      <wp:extent cx="400050" cy="845185"/>
                      <wp:effectExtent l="635" t="635" r="29845" b="10795"/>
                      <wp:wrapNone/>
                      <wp:docPr id="1106" name="直線矢印コネクタ 1147"/>
                      <a:graphic xmlns:a="http://schemas.openxmlformats.org/drawingml/2006/main">
                        <a:graphicData uri="http://schemas.microsoft.com/office/word/2010/wordprocessingShape">
                          <wps:wsp>
                            <wps:cNvPr id="1106" name="直線矢印コネクタ 1147"/>
                            <wps:cNvCnPr/>
                            <wps:spPr>
                              <a:xfrm>
                                <a:off x="0" y="0"/>
                                <a:ext cx="400050" cy="845185"/>
                              </a:xfrm>
                              <a:prstGeom prst="straightConnector1">
                                <a:avLst/>
                              </a:prstGeom>
                              <a:noFill/>
                              <a:ln w="9525">
                                <a:solidFill>
                                  <a:srgbClr val="000000"/>
                                </a:solidFill>
                                <a:round/>
                                <a:headEnd/>
                                <a:tailEnd/>
                              </a:ln>
                              <a:effectLst/>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147" style="mso-wrap-distance-right:9pt;mso-wrap-distance-bottom:0pt;margin-top:-0.7pt;mso-position-vertical-relative:text;mso-position-horizontal-relative:text;position:absolute;height:66.55pt;mso-wrap-distance-top:0pt;width:31.5pt;mso-wrap-distance-left:9pt;margin-left:-1.05pt;z-index:53;" o:spid="_x0000_s1106" o:allowincell="t" o:allowoverlap="t" filled="f" stroked="t" strokecolor="#000000" strokeweight="0.75pt" o:spt="32" type="#_x0000_t32">
                      <v:fill/>
                      <v:stroke filltype="solid"/>
                      <v:imagedata o:title=""/>
                      <w10:wrap type="none" anchorx="text" anchory="text"/>
                    </v:shape>
                  </w:pict>
                </mc:Fallback>
              </mc:AlternateContent>
            </w:r>
            <w:r>
              <w:rPr>
                <w:rFonts w:hint="eastAsia" w:asciiTheme="majorEastAsia" w:hAnsiTheme="majorEastAsia" w:eastAsiaTheme="majorEastAsia"/>
                <w:sz w:val="16"/>
              </w:rPr>
              <w:t>　項目</w:t>
            </w:r>
          </w:p>
          <w:p>
            <w:pPr>
              <w:pStyle w:val="0"/>
              <w:spacing w:line="0" w:lineRule="atLeast"/>
              <w:jc w:val="left"/>
              <w:rPr>
                <w:rFonts w:hint="default" w:asciiTheme="majorEastAsia" w:hAnsiTheme="majorEastAsia" w:eastAsiaTheme="majorEastAsia"/>
                <w:sz w:val="16"/>
              </w:rPr>
            </w:pPr>
          </w:p>
          <w:p>
            <w:pPr>
              <w:pStyle w:val="0"/>
              <w:spacing w:line="0" w:lineRule="atLeast"/>
              <w:jc w:val="left"/>
              <w:rPr>
                <w:rFonts w:hint="default" w:asciiTheme="majorEastAsia" w:hAnsiTheme="majorEastAsia" w:eastAsiaTheme="majorEastAsia"/>
                <w:sz w:val="16"/>
              </w:rPr>
            </w:pPr>
          </w:p>
          <w:p>
            <w:pPr>
              <w:pStyle w:val="0"/>
              <w:spacing w:line="0" w:lineRule="atLeast"/>
              <w:jc w:val="left"/>
              <w:rPr>
                <w:rFonts w:hint="default" w:asciiTheme="majorEastAsia" w:hAnsiTheme="majorEastAsia" w:eastAsiaTheme="majorEastAsia"/>
                <w:sz w:val="16"/>
              </w:rPr>
            </w:pPr>
          </w:p>
          <w:p>
            <w:pPr>
              <w:pStyle w:val="0"/>
              <w:jc w:val="left"/>
              <w:rPr>
                <w:rFonts w:hint="default" w:asciiTheme="majorEastAsia" w:hAnsiTheme="majorEastAsia" w:eastAsiaTheme="majorEastAsia"/>
                <w:sz w:val="16"/>
              </w:rPr>
            </w:pPr>
            <w:r>
              <w:rPr>
                <w:rFonts w:hint="eastAsia" w:asciiTheme="majorEastAsia" w:hAnsiTheme="majorEastAsia" w:eastAsiaTheme="majorEastAsia"/>
                <w:sz w:val="16"/>
              </w:rPr>
              <w:t>類型</w:t>
            </w:r>
          </w:p>
        </w:tc>
        <w:tc>
          <w:tcPr>
            <w:tcW w:w="1417" w:type="dxa"/>
            <w:vMerge w:val="restart"/>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利用目的の適応性</w:t>
            </w:r>
          </w:p>
        </w:tc>
        <w:tc>
          <w:tcPr>
            <w:tcW w:w="6521" w:type="dxa"/>
            <w:gridSpan w:val="5"/>
            <w:shd w:val="clear" w:color="auto" w:themeFill="background1" w:themeFillTint="FF" w:themeFillShade="BF"/>
            <w:vAlign w:val="top"/>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基　　　　準　　　　　値</w:t>
            </w:r>
          </w:p>
        </w:tc>
        <w:tc>
          <w:tcPr>
            <w:tcW w:w="1283" w:type="dxa"/>
            <w:vMerge w:val="restart"/>
            <w:shd w:val="clear" w:color="auto" w:themeFill="background1" w:themeFillTint="FF" w:themeFillShade="BF"/>
            <w:vAlign w:val="center"/>
          </w:tcPr>
          <w:p>
            <w:pPr>
              <w:pStyle w:val="0"/>
              <w:jc w:val="center"/>
              <w:rPr>
                <w:rFonts w:hint="default" w:asciiTheme="majorEastAsia" w:hAnsiTheme="majorEastAsia" w:eastAsiaTheme="majorEastAsia"/>
                <w:sz w:val="18"/>
              </w:rPr>
            </w:pPr>
            <w:r>
              <w:rPr>
                <w:rFonts w:hint="eastAsia" w:asciiTheme="majorEastAsia" w:hAnsiTheme="majorEastAsia" w:eastAsiaTheme="majorEastAsia"/>
                <w:sz w:val="18"/>
              </w:rPr>
              <w:t>市内該当</w:t>
            </w:r>
          </w:p>
          <w:p>
            <w:pPr>
              <w:pStyle w:val="0"/>
              <w:jc w:val="center"/>
              <w:rPr>
                <w:rFonts w:hint="default" w:asciiTheme="majorEastAsia" w:hAnsiTheme="majorEastAsia" w:eastAsiaTheme="majorEastAsia"/>
                <w:sz w:val="18"/>
              </w:rPr>
            </w:pPr>
            <w:r>
              <w:rPr>
                <w:rFonts w:hint="eastAsia" w:asciiTheme="majorEastAsia" w:hAnsiTheme="majorEastAsia" w:eastAsiaTheme="majorEastAsia"/>
                <w:sz w:val="18"/>
              </w:rPr>
              <w:t>水域</w:t>
            </w:r>
          </w:p>
        </w:tc>
      </w:tr>
      <w:tr>
        <w:trPr>
          <w:trHeight w:val="1023" w:hRule="atLeast"/>
        </w:trPr>
        <w:tc>
          <w:tcPr>
            <w:tcW w:w="720" w:type="dxa"/>
            <w:vMerge w:val="continue"/>
            <w:tcBorders>
              <w:top w:val="none" w:color="auto" w:sz="0" w:space="0"/>
              <w:left w:val="none" w:color="auto" w:sz="0" w:space="0"/>
              <w:bottom w:val="single" w:color="auto" w:sz="6" w:space="0"/>
              <w:right w:val="none" w:color="auto" w:sz="0" w:space="0"/>
              <w:tl2br w:val="nil"/>
              <w:tr2bl w:val="nil"/>
            </w:tcBorders>
            <w:shd w:val="clear" w:color="auto" w:themeFill="background1" w:themeFillTint="FF" w:themeFillShade="BF"/>
            <w:vAlign w:val="top"/>
          </w:tcPr>
          <w:p>
            <w:pPr>
              <w:pStyle w:val="0"/>
              <w:spacing w:line="0" w:lineRule="atLeast"/>
              <w:jc w:val="left"/>
              <w:rPr>
                <w:rFonts w:hint="default" w:asciiTheme="majorEastAsia" w:hAnsiTheme="majorEastAsia" w:eastAsiaTheme="majorEastAsia"/>
                <w:sz w:val="16"/>
              </w:rPr>
            </w:pPr>
          </w:p>
        </w:tc>
        <w:tc>
          <w:tcPr>
            <w:tcW w:w="1417" w:type="dxa"/>
            <w:vMerge w:val="continue"/>
            <w:shd w:val="clear" w:color="auto" w:themeFill="background1" w:themeFillTint="FF" w:themeFillShade="BF"/>
            <w:vAlign w:val="top"/>
          </w:tcPr>
          <w:p>
            <w:pPr>
              <w:pStyle w:val="0"/>
              <w:spacing w:line="0" w:lineRule="atLeast"/>
              <w:jc w:val="left"/>
              <w:rPr>
                <w:rFonts w:hint="default" w:asciiTheme="majorEastAsia" w:hAnsiTheme="majorEastAsia" w:eastAsiaTheme="majorEastAsia"/>
                <w:sz w:val="16"/>
              </w:rPr>
            </w:pPr>
          </w:p>
        </w:tc>
        <w:tc>
          <w:tcPr>
            <w:tcW w:w="1276"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生物化学的</w:t>
            </w:r>
          </w:p>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酸素要求量</w:t>
            </w:r>
          </w:p>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（ＢＯＤ）</w:t>
            </w:r>
          </w:p>
        </w:tc>
        <w:tc>
          <w:tcPr>
            <w:tcW w:w="1276"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水素イオン</w:t>
            </w:r>
          </w:p>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濃度（</w:t>
            </w:r>
            <w:r>
              <w:rPr>
                <w:rFonts w:hint="eastAsia" w:asciiTheme="majorEastAsia" w:hAnsiTheme="majorEastAsia" w:eastAsiaTheme="majorEastAsia"/>
                <w:sz w:val="18"/>
              </w:rPr>
              <w:t>p</w:t>
            </w:r>
            <w:r>
              <w:rPr>
                <w:rFonts w:hint="eastAsia" w:asciiTheme="majorEastAsia" w:hAnsiTheme="majorEastAsia" w:eastAsiaTheme="majorEastAsia"/>
                <w:sz w:val="18"/>
              </w:rPr>
              <w:t>Ｈ）</w:t>
            </w:r>
          </w:p>
        </w:tc>
        <w:tc>
          <w:tcPr>
            <w:tcW w:w="1336"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溶存酸素量</w:t>
            </w:r>
          </w:p>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（ＤＯ）</w:t>
            </w:r>
          </w:p>
        </w:tc>
        <w:tc>
          <w:tcPr>
            <w:tcW w:w="1276"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浮遊物質量</w:t>
            </w:r>
          </w:p>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（ＳＳ）</w:t>
            </w:r>
          </w:p>
        </w:tc>
        <w:tc>
          <w:tcPr>
            <w:tcW w:w="1357"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大腸菌群数</w:t>
            </w:r>
          </w:p>
        </w:tc>
        <w:tc>
          <w:tcPr>
            <w:tcW w:w="1283" w:type="dxa"/>
            <w:vMerge w:val="continue"/>
            <w:shd w:val="clear" w:color="auto" w:themeFill="background1" w:themeFillTint="FF" w:themeFillShade="BF"/>
            <w:vAlign w:val="top"/>
          </w:tcPr>
          <w:p>
            <w:pPr>
              <w:pStyle w:val="0"/>
              <w:spacing w:line="0" w:lineRule="atLeast"/>
              <w:jc w:val="center"/>
              <w:rPr>
                <w:rFonts w:hint="default" w:asciiTheme="majorEastAsia" w:hAnsiTheme="majorEastAsia" w:eastAsiaTheme="majorEastAsia"/>
                <w:sz w:val="18"/>
              </w:rPr>
            </w:pPr>
          </w:p>
        </w:tc>
      </w:tr>
      <w:tr>
        <w:trPr>
          <w:trHeight w:val="65" w:hRule="atLeast"/>
        </w:trPr>
        <w:tc>
          <w:tcPr>
            <w:tcW w:w="720"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ＡＡ</w:t>
            </w:r>
          </w:p>
        </w:tc>
        <w:tc>
          <w:tcPr>
            <w:tcW w:w="1417" w:type="dxa"/>
            <w:vAlign w:val="center"/>
          </w:tcPr>
          <w:p>
            <w:pPr>
              <w:pStyle w:val="0"/>
              <w:spacing w:line="0" w:lineRule="atLeast"/>
              <w:rPr>
                <w:rFonts w:hint="default" w:asciiTheme="majorEastAsia" w:hAnsiTheme="majorEastAsia" w:eastAsiaTheme="majorEastAsia"/>
                <w:sz w:val="18"/>
              </w:rPr>
            </w:pPr>
            <w:r>
              <w:rPr>
                <w:rFonts w:hint="eastAsia" w:asciiTheme="majorEastAsia" w:hAnsiTheme="majorEastAsia" w:eastAsiaTheme="majorEastAsia"/>
                <w:sz w:val="18"/>
              </w:rPr>
              <w:t>水道１級</w:t>
            </w:r>
          </w:p>
          <w:p>
            <w:pPr>
              <w:pStyle w:val="0"/>
              <w:spacing w:line="0" w:lineRule="atLeast"/>
              <w:rPr>
                <w:rFonts w:hint="default" w:asciiTheme="majorEastAsia" w:hAnsiTheme="majorEastAsia" w:eastAsiaTheme="majorEastAsia"/>
                <w:sz w:val="18"/>
              </w:rPr>
            </w:pPr>
            <w:r>
              <w:rPr>
                <w:rFonts w:hint="eastAsia" w:asciiTheme="majorEastAsia" w:hAnsiTheme="majorEastAsia" w:eastAsiaTheme="majorEastAsia"/>
                <w:sz w:val="18"/>
              </w:rPr>
              <w:t>自然環境保全及びＡ以下の欄に掲げるもの</w:t>
            </w:r>
          </w:p>
        </w:tc>
        <w:tc>
          <w:tcPr>
            <w:tcW w:w="1276"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１</w:t>
            </w:r>
            <w:r>
              <w:rPr>
                <w:rFonts w:hint="eastAsia" w:asciiTheme="majorEastAsia" w:hAnsiTheme="majorEastAsia" w:eastAsiaTheme="majorEastAsia"/>
                <w:sz w:val="18"/>
              </w:rPr>
              <w:t>mg/L</w:t>
            </w:r>
            <w:r>
              <w:rPr>
                <w:rFonts w:hint="eastAsia" w:asciiTheme="majorEastAsia" w:hAnsiTheme="majorEastAsia" w:eastAsiaTheme="majorEastAsia"/>
                <w:sz w:val="18"/>
              </w:rPr>
              <w:t>以下</w:t>
            </w:r>
          </w:p>
        </w:tc>
        <w:tc>
          <w:tcPr>
            <w:tcW w:w="1276"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６</w:t>
            </w:r>
            <w:r>
              <w:rPr>
                <w:rFonts w:hint="eastAsia" w:asciiTheme="majorEastAsia" w:hAnsiTheme="majorEastAsia" w:eastAsiaTheme="majorEastAsia"/>
                <w:sz w:val="18"/>
              </w:rPr>
              <w:t>.</w:t>
            </w:r>
            <w:r>
              <w:rPr>
                <w:rFonts w:hint="eastAsia" w:asciiTheme="majorEastAsia" w:hAnsiTheme="majorEastAsia" w:eastAsiaTheme="majorEastAsia"/>
                <w:sz w:val="18"/>
              </w:rPr>
              <w:t>５以上</w:t>
            </w:r>
          </w:p>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８</w:t>
            </w:r>
            <w:r>
              <w:rPr>
                <w:rFonts w:hint="eastAsia" w:asciiTheme="majorEastAsia" w:hAnsiTheme="majorEastAsia" w:eastAsiaTheme="majorEastAsia"/>
                <w:sz w:val="18"/>
              </w:rPr>
              <w:t>.</w:t>
            </w:r>
            <w:r>
              <w:rPr>
                <w:rFonts w:hint="eastAsia" w:asciiTheme="majorEastAsia" w:hAnsiTheme="majorEastAsia" w:eastAsiaTheme="majorEastAsia"/>
                <w:sz w:val="18"/>
              </w:rPr>
              <w:t>５以下</w:t>
            </w:r>
          </w:p>
        </w:tc>
        <w:tc>
          <w:tcPr>
            <w:tcW w:w="1336"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7.5mg/L</w:t>
            </w:r>
            <w:r>
              <w:rPr>
                <w:rFonts w:hint="eastAsia" w:asciiTheme="majorEastAsia" w:hAnsiTheme="majorEastAsia" w:eastAsiaTheme="majorEastAsia"/>
                <w:sz w:val="18"/>
              </w:rPr>
              <w:t>以上</w:t>
            </w:r>
          </w:p>
        </w:tc>
        <w:tc>
          <w:tcPr>
            <w:tcW w:w="1276"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25mg/L</w:t>
            </w:r>
            <w:r>
              <w:rPr>
                <w:rFonts w:hint="eastAsia" w:asciiTheme="majorEastAsia" w:hAnsiTheme="majorEastAsia" w:eastAsiaTheme="majorEastAsia"/>
                <w:sz w:val="18"/>
              </w:rPr>
              <w:t>以下</w:t>
            </w:r>
          </w:p>
        </w:tc>
        <w:tc>
          <w:tcPr>
            <w:tcW w:w="1357"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50MPN/100mL</w:t>
            </w:r>
          </w:p>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以下</w:t>
            </w:r>
          </w:p>
        </w:tc>
        <w:tc>
          <w:tcPr>
            <w:tcW w:w="1283"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w:t>
            </w:r>
          </w:p>
        </w:tc>
      </w:tr>
      <w:tr>
        <w:trPr>
          <w:trHeight w:val="65" w:hRule="atLeast"/>
        </w:trPr>
        <w:tc>
          <w:tcPr>
            <w:tcW w:w="720"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Ａ</w:t>
            </w:r>
          </w:p>
        </w:tc>
        <w:tc>
          <w:tcPr>
            <w:tcW w:w="1417" w:type="dxa"/>
            <w:vAlign w:val="center"/>
          </w:tcPr>
          <w:p>
            <w:pPr>
              <w:pStyle w:val="0"/>
              <w:spacing w:line="0" w:lineRule="atLeast"/>
              <w:rPr>
                <w:rFonts w:hint="default" w:asciiTheme="majorEastAsia" w:hAnsiTheme="majorEastAsia" w:eastAsiaTheme="majorEastAsia"/>
                <w:sz w:val="18"/>
              </w:rPr>
            </w:pPr>
            <w:r>
              <w:rPr>
                <w:rFonts w:hint="eastAsia" w:asciiTheme="majorEastAsia" w:hAnsiTheme="majorEastAsia" w:eastAsiaTheme="majorEastAsia"/>
                <w:sz w:val="18"/>
              </w:rPr>
              <w:t>水道２級</w:t>
            </w:r>
          </w:p>
          <w:p>
            <w:pPr>
              <w:pStyle w:val="0"/>
              <w:spacing w:line="0" w:lineRule="atLeast"/>
              <w:rPr>
                <w:rFonts w:hint="default" w:asciiTheme="majorEastAsia" w:hAnsiTheme="majorEastAsia" w:eastAsiaTheme="majorEastAsia"/>
                <w:sz w:val="18"/>
              </w:rPr>
            </w:pPr>
            <w:r>
              <w:rPr>
                <w:rFonts w:hint="eastAsia" w:asciiTheme="majorEastAsia" w:hAnsiTheme="majorEastAsia" w:eastAsiaTheme="majorEastAsia"/>
                <w:sz w:val="18"/>
              </w:rPr>
              <w:t>水産１級</w:t>
            </w:r>
          </w:p>
          <w:p>
            <w:pPr>
              <w:pStyle w:val="0"/>
              <w:spacing w:line="0" w:lineRule="atLeast"/>
              <w:rPr>
                <w:rFonts w:hint="default" w:asciiTheme="majorEastAsia" w:hAnsiTheme="majorEastAsia" w:eastAsiaTheme="majorEastAsia"/>
                <w:sz w:val="18"/>
              </w:rPr>
            </w:pPr>
            <w:r>
              <w:rPr>
                <w:rFonts w:hint="eastAsia" w:asciiTheme="majorEastAsia" w:hAnsiTheme="majorEastAsia" w:eastAsiaTheme="majorEastAsia"/>
                <w:sz w:val="18"/>
              </w:rPr>
              <w:t>水浴及びＢ以下の欄に掲げるもの</w:t>
            </w:r>
          </w:p>
        </w:tc>
        <w:tc>
          <w:tcPr>
            <w:tcW w:w="1276" w:type="dxa"/>
            <w:vAlign w:val="center"/>
          </w:tcPr>
          <w:p>
            <w:pPr>
              <w:pStyle w:val="0"/>
              <w:jc w:val="center"/>
              <w:rPr>
                <w:rFonts w:hint="default" w:asciiTheme="majorEastAsia" w:hAnsiTheme="majorEastAsia" w:eastAsiaTheme="majorEastAsia"/>
                <w:sz w:val="18"/>
              </w:rPr>
            </w:pPr>
            <w:r>
              <w:rPr>
                <w:rFonts w:hint="eastAsia" w:asciiTheme="majorEastAsia" w:hAnsiTheme="majorEastAsia" w:eastAsiaTheme="majorEastAsia"/>
                <w:sz w:val="18"/>
              </w:rPr>
              <w:t>２</w:t>
            </w:r>
            <w:r>
              <w:rPr>
                <w:rFonts w:hint="eastAsia" w:asciiTheme="majorEastAsia" w:hAnsiTheme="majorEastAsia" w:eastAsiaTheme="majorEastAsia"/>
                <w:sz w:val="18"/>
              </w:rPr>
              <w:t>mg/L</w:t>
            </w:r>
            <w:r>
              <w:rPr>
                <w:rFonts w:hint="eastAsia" w:asciiTheme="majorEastAsia" w:hAnsiTheme="majorEastAsia" w:eastAsiaTheme="majorEastAsia"/>
                <w:sz w:val="18"/>
              </w:rPr>
              <w:t>以下</w:t>
            </w:r>
          </w:p>
        </w:tc>
        <w:tc>
          <w:tcPr>
            <w:tcW w:w="1276"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６</w:t>
            </w:r>
            <w:r>
              <w:rPr>
                <w:rFonts w:hint="eastAsia" w:asciiTheme="majorEastAsia" w:hAnsiTheme="majorEastAsia" w:eastAsiaTheme="majorEastAsia"/>
                <w:sz w:val="18"/>
              </w:rPr>
              <w:t>.</w:t>
            </w:r>
            <w:r>
              <w:rPr>
                <w:rFonts w:hint="eastAsia" w:asciiTheme="majorEastAsia" w:hAnsiTheme="majorEastAsia" w:eastAsiaTheme="majorEastAsia"/>
                <w:sz w:val="18"/>
              </w:rPr>
              <w:t>５以上</w:t>
            </w:r>
          </w:p>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８</w:t>
            </w:r>
            <w:r>
              <w:rPr>
                <w:rFonts w:hint="eastAsia" w:asciiTheme="majorEastAsia" w:hAnsiTheme="majorEastAsia" w:eastAsiaTheme="majorEastAsia"/>
                <w:sz w:val="18"/>
              </w:rPr>
              <w:t>.</w:t>
            </w:r>
            <w:r>
              <w:rPr>
                <w:rFonts w:hint="eastAsia" w:asciiTheme="majorEastAsia" w:hAnsiTheme="majorEastAsia" w:eastAsiaTheme="majorEastAsia"/>
                <w:sz w:val="18"/>
              </w:rPr>
              <w:t>５以下</w:t>
            </w:r>
          </w:p>
        </w:tc>
        <w:tc>
          <w:tcPr>
            <w:tcW w:w="1336"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7.5mg/L</w:t>
            </w:r>
            <w:r>
              <w:rPr>
                <w:rFonts w:hint="eastAsia" w:asciiTheme="majorEastAsia" w:hAnsiTheme="majorEastAsia" w:eastAsiaTheme="majorEastAsia"/>
                <w:sz w:val="18"/>
              </w:rPr>
              <w:t>以上</w:t>
            </w:r>
          </w:p>
        </w:tc>
        <w:tc>
          <w:tcPr>
            <w:tcW w:w="1276"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25mg/L</w:t>
            </w:r>
            <w:r>
              <w:rPr>
                <w:rFonts w:hint="eastAsia" w:asciiTheme="majorEastAsia" w:hAnsiTheme="majorEastAsia" w:eastAsiaTheme="majorEastAsia"/>
                <w:sz w:val="18"/>
              </w:rPr>
              <w:t>以下</w:t>
            </w:r>
          </w:p>
        </w:tc>
        <w:tc>
          <w:tcPr>
            <w:tcW w:w="1357"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1,000MPN/100mL</w:t>
            </w:r>
            <w:r>
              <w:rPr>
                <w:rFonts w:hint="eastAsia" w:asciiTheme="majorEastAsia" w:hAnsiTheme="majorEastAsia" w:eastAsiaTheme="majorEastAsia"/>
                <w:sz w:val="18"/>
              </w:rPr>
              <w:t>以下</w:t>
            </w:r>
          </w:p>
        </w:tc>
        <w:tc>
          <w:tcPr>
            <w:tcW w:w="1283"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吉井川上流、加茂川</w:t>
            </w:r>
          </w:p>
        </w:tc>
      </w:tr>
      <w:tr>
        <w:trPr>
          <w:trHeight w:val="87" w:hRule="atLeast"/>
        </w:trPr>
        <w:tc>
          <w:tcPr>
            <w:tcW w:w="720"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Ｂ</w:t>
            </w:r>
          </w:p>
        </w:tc>
        <w:tc>
          <w:tcPr>
            <w:tcW w:w="1417" w:type="dxa"/>
            <w:vAlign w:val="center"/>
          </w:tcPr>
          <w:p>
            <w:pPr>
              <w:pStyle w:val="0"/>
              <w:spacing w:line="0" w:lineRule="atLeast"/>
              <w:rPr>
                <w:rFonts w:hint="default" w:asciiTheme="majorEastAsia" w:hAnsiTheme="majorEastAsia" w:eastAsiaTheme="majorEastAsia"/>
                <w:sz w:val="18"/>
              </w:rPr>
            </w:pPr>
            <w:r>
              <w:rPr>
                <w:rFonts w:hint="eastAsia" w:asciiTheme="majorEastAsia" w:hAnsiTheme="majorEastAsia" w:eastAsiaTheme="majorEastAsia"/>
                <w:sz w:val="18"/>
              </w:rPr>
              <w:t>水道３級</w:t>
            </w:r>
          </w:p>
          <w:p>
            <w:pPr>
              <w:pStyle w:val="0"/>
              <w:spacing w:line="0" w:lineRule="atLeast"/>
              <w:rPr>
                <w:rFonts w:hint="default" w:asciiTheme="majorEastAsia" w:hAnsiTheme="majorEastAsia" w:eastAsiaTheme="majorEastAsia"/>
                <w:sz w:val="18"/>
              </w:rPr>
            </w:pPr>
            <w:r>
              <w:rPr>
                <w:rFonts w:hint="eastAsia" w:asciiTheme="majorEastAsia" w:hAnsiTheme="majorEastAsia" w:eastAsiaTheme="majorEastAsia"/>
                <w:sz w:val="18"/>
              </w:rPr>
              <w:t>水産２級</w:t>
            </w:r>
          </w:p>
          <w:p>
            <w:pPr>
              <w:pStyle w:val="0"/>
              <w:spacing w:line="0" w:lineRule="atLeast"/>
              <w:rPr>
                <w:rFonts w:hint="default" w:asciiTheme="majorEastAsia" w:hAnsiTheme="majorEastAsia" w:eastAsiaTheme="majorEastAsia"/>
                <w:sz w:val="18"/>
              </w:rPr>
            </w:pPr>
            <w:r>
              <w:rPr>
                <w:rFonts w:hint="eastAsia" w:asciiTheme="majorEastAsia" w:hAnsiTheme="majorEastAsia" w:eastAsiaTheme="majorEastAsia"/>
                <w:sz w:val="18"/>
              </w:rPr>
              <w:t>及びＣ以下の欄に掲げるもの</w:t>
            </w:r>
          </w:p>
        </w:tc>
        <w:tc>
          <w:tcPr>
            <w:tcW w:w="1276" w:type="dxa"/>
            <w:vAlign w:val="center"/>
          </w:tcPr>
          <w:p>
            <w:pPr>
              <w:pStyle w:val="0"/>
              <w:jc w:val="center"/>
              <w:rPr>
                <w:rFonts w:hint="default" w:asciiTheme="majorEastAsia" w:hAnsiTheme="majorEastAsia" w:eastAsiaTheme="majorEastAsia"/>
                <w:sz w:val="18"/>
              </w:rPr>
            </w:pPr>
            <w:r>
              <w:rPr>
                <w:rFonts w:hint="eastAsia" w:asciiTheme="majorEastAsia" w:hAnsiTheme="majorEastAsia" w:eastAsiaTheme="majorEastAsia"/>
                <w:sz w:val="18"/>
              </w:rPr>
              <w:t>３</w:t>
            </w:r>
            <w:r>
              <w:rPr>
                <w:rFonts w:hint="eastAsia" w:asciiTheme="majorEastAsia" w:hAnsiTheme="majorEastAsia" w:eastAsiaTheme="majorEastAsia"/>
                <w:sz w:val="18"/>
              </w:rPr>
              <w:t>mg/L</w:t>
            </w:r>
            <w:r>
              <w:rPr>
                <w:rFonts w:hint="eastAsia" w:asciiTheme="majorEastAsia" w:hAnsiTheme="majorEastAsia" w:eastAsiaTheme="majorEastAsia"/>
                <w:sz w:val="18"/>
              </w:rPr>
              <w:t>以下</w:t>
            </w:r>
          </w:p>
        </w:tc>
        <w:tc>
          <w:tcPr>
            <w:tcW w:w="1276"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６</w:t>
            </w:r>
            <w:r>
              <w:rPr>
                <w:rFonts w:hint="eastAsia" w:asciiTheme="majorEastAsia" w:hAnsiTheme="majorEastAsia" w:eastAsiaTheme="majorEastAsia"/>
                <w:sz w:val="18"/>
              </w:rPr>
              <w:t>.</w:t>
            </w:r>
            <w:r>
              <w:rPr>
                <w:rFonts w:hint="eastAsia" w:asciiTheme="majorEastAsia" w:hAnsiTheme="majorEastAsia" w:eastAsiaTheme="majorEastAsia"/>
                <w:sz w:val="18"/>
              </w:rPr>
              <w:t>５以上</w:t>
            </w:r>
          </w:p>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８</w:t>
            </w:r>
            <w:r>
              <w:rPr>
                <w:rFonts w:hint="eastAsia" w:asciiTheme="majorEastAsia" w:hAnsiTheme="majorEastAsia" w:eastAsiaTheme="majorEastAsia"/>
                <w:sz w:val="18"/>
              </w:rPr>
              <w:t>.</w:t>
            </w:r>
            <w:r>
              <w:rPr>
                <w:rFonts w:hint="eastAsia" w:asciiTheme="majorEastAsia" w:hAnsiTheme="majorEastAsia" w:eastAsiaTheme="majorEastAsia"/>
                <w:sz w:val="18"/>
              </w:rPr>
              <w:t>５以下</w:t>
            </w:r>
          </w:p>
        </w:tc>
        <w:tc>
          <w:tcPr>
            <w:tcW w:w="1336"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５</w:t>
            </w:r>
            <w:r>
              <w:rPr>
                <w:rFonts w:hint="eastAsia" w:asciiTheme="majorEastAsia" w:hAnsiTheme="majorEastAsia" w:eastAsiaTheme="majorEastAsia"/>
                <w:sz w:val="18"/>
              </w:rPr>
              <w:t>mg/L</w:t>
            </w:r>
            <w:r>
              <w:rPr>
                <w:rFonts w:hint="eastAsia" w:asciiTheme="majorEastAsia" w:hAnsiTheme="majorEastAsia" w:eastAsiaTheme="majorEastAsia"/>
                <w:sz w:val="18"/>
              </w:rPr>
              <w:t>以上</w:t>
            </w:r>
          </w:p>
        </w:tc>
        <w:tc>
          <w:tcPr>
            <w:tcW w:w="1276"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25mg/L</w:t>
            </w:r>
            <w:r>
              <w:rPr>
                <w:rFonts w:hint="eastAsia" w:asciiTheme="majorEastAsia" w:hAnsiTheme="majorEastAsia" w:eastAsiaTheme="majorEastAsia"/>
                <w:sz w:val="18"/>
              </w:rPr>
              <w:t>以下</w:t>
            </w:r>
          </w:p>
        </w:tc>
        <w:tc>
          <w:tcPr>
            <w:tcW w:w="1357"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5,000MPN/100mL</w:t>
            </w:r>
            <w:r>
              <w:rPr>
                <w:rFonts w:hint="eastAsia" w:asciiTheme="majorEastAsia" w:hAnsiTheme="majorEastAsia" w:eastAsiaTheme="majorEastAsia"/>
                <w:sz w:val="18"/>
              </w:rPr>
              <w:t>以下</w:t>
            </w:r>
          </w:p>
        </w:tc>
        <w:tc>
          <w:tcPr>
            <w:tcW w:w="1283"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吉井川</w:t>
            </w:r>
          </w:p>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中・下流</w:t>
            </w:r>
          </w:p>
        </w:tc>
      </w:tr>
      <w:tr>
        <w:trPr>
          <w:trHeight w:val="91" w:hRule="atLeast"/>
        </w:trPr>
        <w:tc>
          <w:tcPr>
            <w:tcW w:w="720"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Ｃ</w:t>
            </w:r>
          </w:p>
        </w:tc>
        <w:tc>
          <w:tcPr>
            <w:tcW w:w="1417" w:type="dxa"/>
            <w:vAlign w:val="center"/>
          </w:tcPr>
          <w:p>
            <w:pPr>
              <w:pStyle w:val="0"/>
              <w:spacing w:line="0" w:lineRule="atLeast"/>
              <w:rPr>
                <w:rFonts w:hint="default" w:asciiTheme="majorEastAsia" w:hAnsiTheme="majorEastAsia" w:eastAsiaTheme="majorEastAsia"/>
                <w:sz w:val="18"/>
              </w:rPr>
            </w:pPr>
            <w:r>
              <w:rPr>
                <w:rFonts w:hint="eastAsia" w:asciiTheme="majorEastAsia" w:hAnsiTheme="majorEastAsia" w:eastAsiaTheme="majorEastAsia"/>
                <w:sz w:val="18"/>
              </w:rPr>
              <w:t>水産３級</w:t>
            </w:r>
          </w:p>
          <w:p>
            <w:pPr>
              <w:pStyle w:val="0"/>
              <w:spacing w:line="0" w:lineRule="atLeast"/>
              <w:rPr>
                <w:rFonts w:hint="default" w:asciiTheme="majorEastAsia" w:hAnsiTheme="majorEastAsia" w:eastAsiaTheme="majorEastAsia"/>
                <w:sz w:val="18"/>
              </w:rPr>
            </w:pPr>
            <w:r>
              <w:rPr>
                <w:rFonts w:hint="eastAsia" w:asciiTheme="majorEastAsia" w:hAnsiTheme="majorEastAsia" w:eastAsiaTheme="majorEastAsia"/>
                <w:sz w:val="18"/>
              </w:rPr>
              <w:t>工業用水１級</w:t>
            </w:r>
          </w:p>
          <w:p>
            <w:pPr>
              <w:pStyle w:val="0"/>
              <w:spacing w:line="0" w:lineRule="atLeast"/>
              <w:rPr>
                <w:rFonts w:hint="default" w:asciiTheme="majorEastAsia" w:hAnsiTheme="majorEastAsia" w:eastAsiaTheme="majorEastAsia"/>
                <w:sz w:val="18"/>
              </w:rPr>
            </w:pPr>
            <w:r>
              <w:rPr>
                <w:rFonts w:hint="eastAsia" w:asciiTheme="majorEastAsia" w:hAnsiTheme="majorEastAsia" w:eastAsiaTheme="majorEastAsia"/>
                <w:sz w:val="18"/>
              </w:rPr>
              <w:t>及びＤ以下の欄に掲げるもの</w:t>
            </w:r>
          </w:p>
        </w:tc>
        <w:tc>
          <w:tcPr>
            <w:tcW w:w="1276" w:type="dxa"/>
            <w:vAlign w:val="center"/>
          </w:tcPr>
          <w:p>
            <w:pPr>
              <w:pStyle w:val="0"/>
              <w:jc w:val="center"/>
              <w:rPr>
                <w:rFonts w:hint="default" w:asciiTheme="majorEastAsia" w:hAnsiTheme="majorEastAsia" w:eastAsiaTheme="majorEastAsia"/>
                <w:sz w:val="18"/>
              </w:rPr>
            </w:pPr>
            <w:r>
              <w:rPr>
                <w:rFonts w:hint="eastAsia" w:asciiTheme="majorEastAsia" w:hAnsiTheme="majorEastAsia" w:eastAsiaTheme="majorEastAsia"/>
                <w:sz w:val="18"/>
              </w:rPr>
              <w:t>５</w:t>
            </w:r>
            <w:r>
              <w:rPr>
                <w:rFonts w:hint="eastAsia" w:asciiTheme="majorEastAsia" w:hAnsiTheme="majorEastAsia" w:eastAsiaTheme="majorEastAsia"/>
                <w:sz w:val="18"/>
              </w:rPr>
              <w:t>mg/L</w:t>
            </w:r>
            <w:r>
              <w:rPr>
                <w:rFonts w:hint="eastAsia" w:asciiTheme="majorEastAsia" w:hAnsiTheme="majorEastAsia" w:eastAsiaTheme="majorEastAsia"/>
                <w:sz w:val="18"/>
              </w:rPr>
              <w:t>以下</w:t>
            </w:r>
          </w:p>
        </w:tc>
        <w:tc>
          <w:tcPr>
            <w:tcW w:w="1276"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６</w:t>
            </w:r>
            <w:r>
              <w:rPr>
                <w:rFonts w:hint="eastAsia" w:asciiTheme="majorEastAsia" w:hAnsiTheme="majorEastAsia" w:eastAsiaTheme="majorEastAsia"/>
                <w:sz w:val="18"/>
              </w:rPr>
              <w:t>.</w:t>
            </w:r>
            <w:r>
              <w:rPr>
                <w:rFonts w:hint="eastAsia" w:asciiTheme="majorEastAsia" w:hAnsiTheme="majorEastAsia" w:eastAsiaTheme="majorEastAsia"/>
                <w:sz w:val="18"/>
              </w:rPr>
              <w:t>５以上</w:t>
            </w:r>
          </w:p>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８</w:t>
            </w:r>
            <w:r>
              <w:rPr>
                <w:rFonts w:hint="eastAsia" w:asciiTheme="majorEastAsia" w:hAnsiTheme="majorEastAsia" w:eastAsiaTheme="majorEastAsia"/>
                <w:sz w:val="18"/>
              </w:rPr>
              <w:t>.</w:t>
            </w:r>
            <w:r>
              <w:rPr>
                <w:rFonts w:hint="eastAsia" w:asciiTheme="majorEastAsia" w:hAnsiTheme="majorEastAsia" w:eastAsiaTheme="majorEastAsia"/>
                <w:sz w:val="18"/>
              </w:rPr>
              <w:t>５以下</w:t>
            </w:r>
          </w:p>
        </w:tc>
        <w:tc>
          <w:tcPr>
            <w:tcW w:w="1336"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５</w:t>
            </w:r>
            <w:r>
              <w:rPr>
                <w:rFonts w:hint="eastAsia" w:asciiTheme="majorEastAsia" w:hAnsiTheme="majorEastAsia" w:eastAsiaTheme="majorEastAsia"/>
                <w:sz w:val="18"/>
              </w:rPr>
              <w:t>mg/L</w:t>
            </w:r>
            <w:r>
              <w:rPr>
                <w:rFonts w:hint="eastAsia" w:asciiTheme="majorEastAsia" w:hAnsiTheme="majorEastAsia" w:eastAsiaTheme="majorEastAsia"/>
                <w:sz w:val="18"/>
              </w:rPr>
              <w:t>以上</w:t>
            </w:r>
          </w:p>
        </w:tc>
        <w:tc>
          <w:tcPr>
            <w:tcW w:w="1276"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50mg/L</w:t>
            </w:r>
            <w:r>
              <w:rPr>
                <w:rFonts w:hint="eastAsia" w:asciiTheme="majorEastAsia" w:hAnsiTheme="majorEastAsia" w:eastAsiaTheme="majorEastAsia"/>
                <w:sz w:val="18"/>
              </w:rPr>
              <w:t>以下</w:t>
            </w:r>
          </w:p>
        </w:tc>
        <w:tc>
          <w:tcPr>
            <w:tcW w:w="1357"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w:t>
            </w:r>
          </w:p>
        </w:tc>
        <w:tc>
          <w:tcPr>
            <w:tcW w:w="1283"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w:t>
            </w:r>
          </w:p>
        </w:tc>
      </w:tr>
      <w:tr>
        <w:trPr>
          <w:trHeight w:val="65" w:hRule="atLeast"/>
        </w:trPr>
        <w:tc>
          <w:tcPr>
            <w:tcW w:w="720"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Ｄ</w:t>
            </w:r>
          </w:p>
        </w:tc>
        <w:tc>
          <w:tcPr>
            <w:tcW w:w="1417" w:type="dxa"/>
            <w:vAlign w:val="center"/>
          </w:tcPr>
          <w:p>
            <w:pPr>
              <w:pStyle w:val="0"/>
              <w:spacing w:line="0" w:lineRule="atLeast"/>
              <w:rPr>
                <w:rFonts w:hint="default" w:asciiTheme="majorEastAsia" w:hAnsiTheme="majorEastAsia" w:eastAsiaTheme="majorEastAsia"/>
                <w:sz w:val="18"/>
              </w:rPr>
            </w:pPr>
            <w:r>
              <w:rPr>
                <w:rFonts w:hint="eastAsia" w:asciiTheme="majorEastAsia" w:hAnsiTheme="majorEastAsia" w:eastAsiaTheme="majorEastAsia"/>
                <w:sz w:val="18"/>
              </w:rPr>
              <w:t>工業用水２級</w:t>
            </w:r>
          </w:p>
          <w:p>
            <w:pPr>
              <w:pStyle w:val="0"/>
              <w:spacing w:line="0" w:lineRule="atLeast"/>
              <w:rPr>
                <w:rFonts w:hint="default" w:asciiTheme="majorEastAsia" w:hAnsiTheme="majorEastAsia" w:eastAsiaTheme="majorEastAsia"/>
                <w:sz w:val="18"/>
              </w:rPr>
            </w:pPr>
            <w:r>
              <w:rPr>
                <w:rFonts w:hint="eastAsia" w:asciiTheme="majorEastAsia" w:hAnsiTheme="majorEastAsia" w:eastAsiaTheme="majorEastAsia"/>
                <w:sz w:val="18"/>
              </w:rPr>
              <w:t>農業用水</w:t>
            </w:r>
          </w:p>
          <w:p>
            <w:pPr>
              <w:pStyle w:val="0"/>
              <w:spacing w:line="0" w:lineRule="atLeast"/>
              <w:rPr>
                <w:rFonts w:hint="default" w:asciiTheme="majorEastAsia" w:hAnsiTheme="majorEastAsia" w:eastAsiaTheme="majorEastAsia"/>
                <w:sz w:val="18"/>
              </w:rPr>
            </w:pPr>
            <w:r>
              <w:rPr>
                <w:rFonts w:hint="eastAsia" w:asciiTheme="majorEastAsia" w:hAnsiTheme="majorEastAsia" w:eastAsiaTheme="majorEastAsia"/>
                <w:sz w:val="18"/>
              </w:rPr>
              <w:t>及びＥの欄に掲げるもの</w:t>
            </w:r>
          </w:p>
        </w:tc>
        <w:tc>
          <w:tcPr>
            <w:tcW w:w="1276" w:type="dxa"/>
            <w:vAlign w:val="center"/>
          </w:tcPr>
          <w:p>
            <w:pPr>
              <w:pStyle w:val="0"/>
              <w:jc w:val="center"/>
              <w:rPr>
                <w:rFonts w:hint="default" w:asciiTheme="majorEastAsia" w:hAnsiTheme="majorEastAsia" w:eastAsiaTheme="majorEastAsia"/>
                <w:sz w:val="18"/>
              </w:rPr>
            </w:pPr>
            <w:r>
              <w:rPr>
                <w:rFonts w:hint="eastAsia" w:asciiTheme="majorEastAsia" w:hAnsiTheme="majorEastAsia" w:eastAsiaTheme="majorEastAsia"/>
                <w:sz w:val="18"/>
              </w:rPr>
              <w:t>８</w:t>
            </w:r>
            <w:r>
              <w:rPr>
                <w:rFonts w:hint="eastAsia" w:asciiTheme="majorEastAsia" w:hAnsiTheme="majorEastAsia" w:eastAsiaTheme="majorEastAsia"/>
                <w:sz w:val="18"/>
              </w:rPr>
              <w:t>mg/L</w:t>
            </w:r>
            <w:r>
              <w:rPr>
                <w:rFonts w:hint="eastAsia" w:asciiTheme="majorEastAsia" w:hAnsiTheme="majorEastAsia" w:eastAsiaTheme="majorEastAsia"/>
                <w:sz w:val="18"/>
              </w:rPr>
              <w:t>以下</w:t>
            </w:r>
          </w:p>
        </w:tc>
        <w:tc>
          <w:tcPr>
            <w:tcW w:w="1276"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６</w:t>
            </w:r>
            <w:r>
              <w:rPr>
                <w:rFonts w:hint="eastAsia" w:asciiTheme="majorEastAsia" w:hAnsiTheme="majorEastAsia" w:eastAsiaTheme="majorEastAsia"/>
                <w:sz w:val="18"/>
              </w:rPr>
              <w:t>.</w:t>
            </w:r>
            <w:r>
              <w:rPr>
                <w:rFonts w:hint="eastAsia" w:asciiTheme="majorEastAsia" w:hAnsiTheme="majorEastAsia" w:eastAsiaTheme="majorEastAsia"/>
                <w:sz w:val="18"/>
              </w:rPr>
              <w:t>０以上</w:t>
            </w:r>
          </w:p>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８</w:t>
            </w:r>
            <w:r>
              <w:rPr>
                <w:rFonts w:hint="eastAsia" w:asciiTheme="majorEastAsia" w:hAnsiTheme="majorEastAsia" w:eastAsiaTheme="majorEastAsia"/>
                <w:sz w:val="18"/>
              </w:rPr>
              <w:t>.</w:t>
            </w:r>
            <w:r>
              <w:rPr>
                <w:rFonts w:hint="eastAsia" w:asciiTheme="majorEastAsia" w:hAnsiTheme="majorEastAsia" w:eastAsiaTheme="majorEastAsia"/>
                <w:sz w:val="18"/>
              </w:rPr>
              <w:t>５以下</w:t>
            </w:r>
          </w:p>
        </w:tc>
        <w:tc>
          <w:tcPr>
            <w:tcW w:w="1336"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２</w:t>
            </w:r>
            <w:r>
              <w:rPr>
                <w:rFonts w:hint="eastAsia" w:asciiTheme="majorEastAsia" w:hAnsiTheme="majorEastAsia" w:eastAsiaTheme="majorEastAsia"/>
                <w:sz w:val="18"/>
              </w:rPr>
              <w:t>mg/L</w:t>
            </w:r>
            <w:r>
              <w:rPr>
                <w:rFonts w:hint="eastAsia" w:asciiTheme="majorEastAsia" w:hAnsiTheme="majorEastAsia" w:eastAsiaTheme="majorEastAsia"/>
                <w:sz w:val="18"/>
              </w:rPr>
              <w:t>以上</w:t>
            </w:r>
          </w:p>
        </w:tc>
        <w:tc>
          <w:tcPr>
            <w:tcW w:w="1276"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100mg/L</w:t>
            </w:r>
            <w:r>
              <w:rPr>
                <w:rFonts w:hint="eastAsia" w:asciiTheme="majorEastAsia" w:hAnsiTheme="majorEastAsia" w:eastAsiaTheme="majorEastAsia"/>
                <w:sz w:val="18"/>
              </w:rPr>
              <w:t>以下</w:t>
            </w:r>
          </w:p>
        </w:tc>
        <w:tc>
          <w:tcPr>
            <w:tcW w:w="1357"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w:t>
            </w:r>
          </w:p>
        </w:tc>
        <w:tc>
          <w:tcPr>
            <w:tcW w:w="1283"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w:t>
            </w:r>
          </w:p>
        </w:tc>
      </w:tr>
      <w:tr>
        <w:trPr>
          <w:trHeight w:val="879" w:hRule="atLeast"/>
        </w:trPr>
        <w:tc>
          <w:tcPr>
            <w:tcW w:w="720" w:type="dxa"/>
            <w:shd w:val="clear" w:color="auto" w:themeFill="background1" w:themeFillTint="FF" w:themeFillShade="BF"/>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Ｅ</w:t>
            </w:r>
          </w:p>
        </w:tc>
        <w:tc>
          <w:tcPr>
            <w:tcW w:w="1417" w:type="dxa"/>
            <w:vAlign w:val="center"/>
          </w:tcPr>
          <w:p>
            <w:pPr>
              <w:pStyle w:val="0"/>
              <w:spacing w:line="0" w:lineRule="atLeast"/>
              <w:rPr>
                <w:rFonts w:hint="default" w:asciiTheme="majorEastAsia" w:hAnsiTheme="majorEastAsia" w:eastAsiaTheme="majorEastAsia"/>
                <w:sz w:val="18"/>
              </w:rPr>
            </w:pPr>
            <w:r>
              <w:rPr>
                <w:rFonts w:hint="eastAsia" w:asciiTheme="majorEastAsia" w:hAnsiTheme="majorEastAsia" w:eastAsiaTheme="majorEastAsia"/>
                <w:sz w:val="18"/>
              </w:rPr>
              <w:t>工業用水３級</w:t>
            </w:r>
          </w:p>
          <w:p>
            <w:pPr>
              <w:pStyle w:val="0"/>
              <w:spacing w:line="0" w:lineRule="atLeast"/>
              <w:rPr>
                <w:rFonts w:hint="default" w:asciiTheme="majorEastAsia" w:hAnsiTheme="majorEastAsia" w:eastAsiaTheme="majorEastAsia"/>
                <w:sz w:val="18"/>
              </w:rPr>
            </w:pPr>
            <w:r>
              <w:rPr>
                <w:rFonts w:hint="eastAsia" w:asciiTheme="majorEastAsia" w:hAnsiTheme="majorEastAsia" w:eastAsiaTheme="majorEastAsia"/>
                <w:sz w:val="18"/>
              </w:rPr>
              <w:t>環境保全</w:t>
            </w:r>
          </w:p>
        </w:tc>
        <w:tc>
          <w:tcPr>
            <w:tcW w:w="1276" w:type="dxa"/>
            <w:vAlign w:val="center"/>
          </w:tcPr>
          <w:p>
            <w:pPr>
              <w:pStyle w:val="0"/>
              <w:jc w:val="center"/>
              <w:rPr>
                <w:rFonts w:hint="default" w:asciiTheme="majorEastAsia" w:hAnsiTheme="majorEastAsia" w:eastAsiaTheme="majorEastAsia"/>
                <w:sz w:val="18"/>
              </w:rPr>
            </w:pPr>
            <w:r>
              <w:rPr>
                <w:rFonts w:hint="eastAsia" w:asciiTheme="majorEastAsia" w:hAnsiTheme="majorEastAsia" w:eastAsiaTheme="majorEastAsia"/>
                <w:sz w:val="18"/>
              </w:rPr>
              <w:t>10mg/L</w:t>
            </w:r>
            <w:r>
              <w:rPr>
                <w:rFonts w:hint="eastAsia" w:asciiTheme="majorEastAsia" w:hAnsiTheme="majorEastAsia" w:eastAsiaTheme="majorEastAsia"/>
                <w:sz w:val="18"/>
              </w:rPr>
              <w:t>以下</w:t>
            </w:r>
          </w:p>
        </w:tc>
        <w:tc>
          <w:tcPr>
            <w:tcW w:w="1276"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６</w:t>
            </w:r>
            <w:r>
              <w:rPr>
                <w:rFonts w:hint="eastAsia" w:asciiTheme="majorEastAsia" w:hAnsiTheme="majorEastAsia" w:eastAsiaTheme="majorEastAsia"/>
                <w:sz w:val="18"/>
              </w:rPr>
              <w:t>.</w:t>
            </w:r>
            <w:r>
              <w:rPr>
                <w:rFonts w:hint="eastAsia" w:asciiTheme="majorEastAsia" w:hAnsiTheme="majorEastAsia" w:eastAsiaTheme="majorEastAsia"/>
                <w:sz w:val="18"/>
              </w:rPr>
              <w:t>０以上</w:t>
            </w:r>
          </w:p>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８</w:t>
            </w:r>
            <w:r>
              <w:rPr>
                <w:rFonts w:hint="eastAsia" w:asciiTheme="majorEastAsia" w:hAnsiTheme="majorEastAsia" w:eastAsiaTheme="majorEastAsia"/>
                <w:sz w:val="18"/>
              </w:rPr>
              <w:t>.</w:t>
            </w:r>
            <w:r>
              <w:rPr>
                <w:rFonts w:hint="eastAsia" w:asciiTheme="majorEastAsia" w:hAnsiTheme="majorEastAsia" w:eastAsiaTheme="majorEastAsia"/>
                <w:sz w:val="18"/>
              </w:rPr>
              <w:t>５以下</w:t>
            </w:r>
          </w:p>
        </w:tc>
        <w:tc>
          <w:tcPr>
            <w:tcW w:w="1336"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２</w:t>
            </w:r>
            <w:r>
              <w:rPr>
                <w:rFonts w:hint="eastAsia" w:asciiTheme="majorEastAsia" w:hAnsiTheme="majorEastAsia" w:eastAsiaTheme="majorEastAsia"/>
                <w:sz w:val="18"/>
              </w:rPr>
              <w:t>mg/L</w:t>
            </w:r>
            <w:r>
              <w:rPr>
                <w:rFonts w:hint="eastAsia" w:asciiTheme="majorEastAsia" w:hAnsiTheme="majorEastAsia" w:eastAsiaTheme="majorEastAsia"/>
                <w:sz w:val="18"/>
              </w:rPr>
              <w:t>以上</w:t>
            </w:r>
          </w:p>
        </w:tc>
        <w:tc>
          <w:tcPr>
            <w:tcW w:w="1276" w:type="dxa"/>
            <w:vAlign w:val="center"/>
          </w:tcPr>
          <w:p>
            <w:pPr>
              <w:pStyle w:val="0"/>
              <w:spacing w:line="0" w:lineRule="atLeast"/>
              <w:jc w:val="left"/>
              <w:rPr>
                <w:rFonts w:hint="default" w:asciiTheme="majorEastAsia" w:hAnsiTheme="majorEastAsia" w:eastAsiaTheme="majorEastAsia"/>
                <w:sz w:val="18"/>
              </w:rPr>
            </w:pPr>
            <w:r>
              <w:rPr>
                <w:rFonts w:hint="eastAsia" w:asciiTheme="majorEastAsia" w:hAnsiTheme="majorEastAsia" w:eastAsiaTheme="majorEastAsia"/>
                <w:sz w:val="18"/>
              </w:rPr>
              <w:t>ごみ等の浮遊が認められないこと</w:t>
            </w:r>
          </w:p>
        </w:tc>
        <w:tc>
          <w:tcPr>
            <w:tcW w:w="1357"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w:t>
            </w:r>
          </w:p>
        </w:tc>
        <w:tc>
          <w:tcPr>
            <w:tcW w:w="1283" w:type="dxa"/>
            <w:vAlign w:val="center"/>
          </w:tcPr>
          <w:p>
            <w:pPr>
              <w:pStyle w:val="0"/>
              <w:spacing w:line="0" w:lineRule="atLeast"/>
              <w:jc w:val="center"/>
              <w:rPr>
                <w:rFonts w:hint="default" w:asciiTheme="majorEastAsia" w:hAnsiTheme="majorEastAsia" w:eastAsiaTheme="majorEastAsia"/>
                <w:sz w:val="18"/>
              </w:rPr>
            </w:pPr>
            <w:r>
              <w:rPr>
                <w:rFonts w:hint="eastAsia" w:asciiTheme="majorEastAsia" w:hAnsiTheme="majorEastAsia" w:eastAsiaTheme="majorEastAsia"/>
                <w:sz w:val="18"/>
              </w:rPr>
              <w:t>―</w:t>
            </w:r>
          </w:p>
        </w:tc>
      </w:tr>
    </w:tbl>
    <w:p>
      <w:pPr>
        <w:pStyle w:val="0"/>
        <w:spacing w:line="220" w:lineRule="exact"/>
        <w:ind w:left="570" w:leftChars="100" w:hanging="360" w:hangingChars="200"/>
        <w:jc w:val="left"/>
        <w:rPr>
          <w:rFonts w:hint="default" w:asciiTheme="majorEastAsia" w:hAnsiTheme="majorEastAsia" w:eastAsiaTheme="majorEastAsia"/>
          <w:sz w:val="18"/>
        </w:rPr>
      </w:pPr>
      <w:r>
        <w:rPr>
          <w:rFonts w:hint="eastAsia" w:asciiTheme="majorEastAsia" w:hAnsiTheme="majorEastAsia" w:eastAsiaTheme="majorEastAsia"/>
          <w:sz w:val="18"/>
        </w:rPr>
        <w:t>〔注〕１　自然環境保全：自然探勝等の環境保全</w:t>
      </w:r>
    </w:p>
    <w:p>
      <w:pPr>
        <w:pStyle w:val="0"/>
        <w:spacing w:line="220" w:lineRule="exact"/>
        <w:ind w:firstLine="720" w:firstLineChars="400"/>
        <w:jc w:val="left"/>
        <w:rPr>
          <w:rFonts w:hint="default" w:asciiTheme="majorEastAsia" w:hAnsiTheme="majorEastAsia" w:eastAsiaTheme="majorEastAsia"/>
          <w:sz w:val="18"/>
        </w:rPr>
      </w:pPr>
      <w:r>
        <w:rPr>
          <w:rFonts w:hint="eastAsia" w:asciiTheme="majorEastAsia" w:hAnsiTheme="majorEastAsia" w:eastAsiaTheme="majorEastAsia"/>
          <w:sz w:val="18"/>
        </w:rPr>
        <w:t>２　水道１級　　：ろ過等による簡易な浄水操作を行うもの</w:t>
      </w:r>
    </w:p>
    <w:p>
      <w:pPr>
        <w:pStyle w:val="0"/>
        <w:spacing w:line="220" w:lineRule="exact"/>
        <w:ind w:firstLine="1076" w:firstLineChars="598"/>
        <w:jc w:val="left"/>
        <w:rPr>
          <w:rFonts w:hint="default" w:asciiTheme="majorEastAsia" w:hAnsiTheme="majorEastAsia" w:eastAsiaTheme="majorEastAsia"/>
          <w:sz w:val="18"/>
        </w:rPr>
      </w:pPr>
      <w:r>
        <w:rPr>
          <w:rFonts w:hint="eastAsia" w:asciiTheme="majorEastAsia" w:hAnsiTheme="majorEastAsia" w:eastAsiaTheme="majorEastAsia"/>
          <w:sz w:val="18"/>
        </w:rPr>
        <w:t>水道２級　　：沈殿ろ過等による通常の浄水操作を行うもの</w:t>
      </w:r>
    </w:p>
    <w:p>
      <w:pPr>
        <w:pStyle w:val="0"/>
        <w:spacing w:line="220" w:lineRule="exact"/>
        <w:ind w:firstLine="1076" w:firstLineChars="598"/>
        <w:jc w:val="left"/>
        <w:rPr>
          <w:rFonts w:hint="default" w:asciiTheme="majorEastAsia" w:hAnsiTheme="majorEastAsia" w:eastAsiaTheme="majorEastAsia"/>
          <w:sz w:val="18"/>
        </w:rPr>
      </w:pPr>
      <w:r>
        <w:rPr>
          <w:rFonts w:hint="eastAsia" w:asciiTheme="majorEastAsia" w:hAnsiTheme="majorEastAsia" w:eastAsiaTheme="majorEastAsia"/>
          <w:sz w:val="18"/>
        </w:rPr>
        <w:t>水道３級　　：前処理等を伴う高度の浄水操作を行うもの</w:t>
      </w:r>
    </w:p>
    <w:p>
      <w:pPr>
        <w:pStyle w:val="0"/>
        <w:spacing w:line="220" w:lineRule="exact"/>
        <w:ind w:firstLine="720" w:firstLineChars="400"/>
        <w:jc w:val="left"/>
        <w:rPr>
          <w:rFonts w:hint="default" w:asciiTheme="majorEastAsia" w:hAnsiTheme="majorEastAsia" w:eastAsiaTheme="majorEastAsia"/>
          <w:sz w:val="18"/>
        </w:rPr>
      </w:pPr>
      <w:r>
        <w:rPr>
          <w:rFonts w:hint="eastAsia" w:asciiTheme="majorEastAsia" w:hAnsiTheme="majorEastAsia" w:eastAsiaTheme="majorEastAsia"/>
          <w:sz w:val="18"/>
        </w:rPr>
        <w:t>３　水産１級　　：ﾔﾏﾒ、ｲﾜﾅ等貧腐水性水域の水産生物用並びに水産</w:t>
      </w:r>
      <w:r>
        <w:rPr>
          <w:rFonts w:hint="eastAsia" w:asciiTheme="majorEastAsia" w:hAnsiTheme="majorEastAsia" w:eastAsiaTheme="majorEastAsia"/>
          <w:sz w:val="18"/>
        </w:rPr>
        <w:t>2</w:t>
      </w:r>
      <w:r>
        <w:rPr>
          <w:rFonts w:hint="eastAsia" w:asciiTheme="majorEastAsia" w:hAnsiTheme="majorEastAsia" w:eastAsiaTheme="majorEastAsia"/>
          <w:sz w:val="18"/>
        </w:rPr>
        <w:t>級及び水産</w:t>
      </w:r>
      <w:r>
        <w:rPr>
          <w:rFonts w:hint="eastAsia" w:asciiTheme="majorEastAsia" w:hAnsiTheme="majorEastAsia" w:eastAsiaTheme="majorEastAsia"/>
          <w:sz w:val="18"/>
        </w:rPr>
        <w:t>3</w:t>
      </w:r>
      <w:r>
        <w:rPr>
          <w:rFonts w:hint="eastAsia" w:asciiTheme="majorEastAsia" w:hAnsiTheme="majorEastAsia" w:eastAsiaTheme="majorEastAsia"/>
          <w:sz w:val="18"/>
        </w:rPr>
        <w:t>級の水産生物用</w:t>
      </w:r>
    </w:p>
    <w:p>
      <w:pPr>
        <w:pStyle w:val="0"/>
        <w:spacing w:line="220" w:lineRule="exact"/>
        <w:ind w:firstLine="1076" w:firstLineChars="598"/>
        <w:jc w:val="left"/>
        <w:rPr>
          <w:rFonts w:hint="default" w:asciiTheme="majorEastAsia" w:hAnsiTheme="majorEastAsia" w:eastAsiaTheme="majorEastAsia"/>
          <w:sz w:val="18"/>
        </w:rPr>
      </w:pPr>
      <w:r>
        <w:rPr>
          <w:rFonts w:hint="eastAsia" w:asciiTheme="majorEastAsia" w:hAnsiTheme="majorEastAsia" w:eastAsiaTheme="majorEastAsia"/>
          <w:sz w:val="18"/>
        </w:rPr>
        <w:t>水産２級　　：サケ科魚類及びアユ等貧腐水性水域の水産生物用及び水産</w:t>
      </w:r>
      <w:r>
        <w:rPr>
          <w:rFonts w:hint="eastAsia" w:asciiTheme="majorEastAsia" w:hAnsiTheme="majorEastAsia" w:eastAsiaTheme="majorEastAsia"/>
          <w:sz w:val="18"/>
        </w:rPr>
        <w:t>3</w:t>
      </w:r>
      <w:r>
        <w:rPr>
          <w:rFonts w:hint="eastAsia" w:asciiTheme="majorEastAsia" w:hAnsiTheme="majorEastAsia" w:eastAsiaTheme="majorEastAsia"/>
          <w:sz w:val="18"/>
        </w:rPr>
        <w:t>級の水産生物用</w:t>
      </w:r>
    </w:p>
    <w:p>
      <w:pPr>
        <w:pStyle w:val="0"/>
        <w:spacing w:line="220" w:lineRule="exact"/>
        <w:ind w:firstLine="1076" w:firstLineChars="598"/>
        <w:jc w:val="left"/>
        <w:rPr>
          <w:rFonts w:hint="default" w:asciiTheme="majorEastAsia" w:hAnsiTheme="majorEastAsia" w:eastAsiaTheme="majorEastAsia"/>
          <w:sz w:val="18"/>
        </w:rPr>
      </w:pPr>
      <w:r>
        <w:rPr>
          <w:rFonts w:hint="eastAsia" w:asciiTheme="majorEastAsia" w:hAnsiTheme="majorEastAsia" w:eastAsiaTheme="majorEastAsia"/>
          <w:sz w:val="18"/>
        </w:rPr>
        <w:t>水産３級　　：コイ、フナ等、β－中腐水性水域の水産生物用</w:t>
      </w:r>
    </w:p>
    <w:p>
      <w:pPr>
        <w:pStyle w:val="0"/>
        <w:spacing w:line="220" w:lineRule="exact"/>
        <w:ind w:firstLine="720" w:firstLineChars="400"/>
        <w:jc w:val="left"/>
        <w:rPr>
          <w:rFonts w:hint="default" w:asciiTheme="majorEastAsia" w:hAnsiTheme="majorEastAsia" w:eastAsiaTheme="majorEastAsia"/>
          <w:sz w:val="18"/>
        </w:rPr>
      </w:pPr>
      <w:r>
        <w:rPr>
          <w:rFonts w:hint="eastAsia" w:asciiTheme="majorEastAsia" w:hAnsiTheme="majorEastAsia" w:eastAsiaTheme="majorEastAsia"/>
          <w:sz w:val="18"/>
        </w:rPr>
        <w:t>４　工業用水１級：沈殿等による通常の浄水操作を行うもの</w:t>
      </w:r>
    </w:p>
    <w:p>
      <w:pPr>
        <w:pStyle w:val="0"/>
        <w:spacing w:line="220" w:lineRule="exact"/>
        <w:ind w:firstLine="1076" w:firstLineChars="598"/>
        <w:jc w:val="left"/>
        <w:rPr>
          <w:rFonts w:hint="default" w:asciiTheme="majorEastAsia" w:hAnsiTheme="majorEastAsia" w:eastAsiaTheme="majorEastAsia"/>
          <w:sz w:val="18"/>
        </w:rPr>
      </w:pPr>
      <w:r>
        <w:rPr>
          <w:rFonts w:hint="eastAsia" w:asciiTheme="majorEastAsia" w:hAnsiTheme="majorEastAsia" w:eastAsiaTheme="majorEastAsia"/>
          <w:sz w:val="18"/>
        </w:rPr>
        <w:t>工業用水２級：薬品注入等による高度の浄水操作を行うもの</w:t>
      </w:r>
    </w:p>
    <w:p>
      <w:pPr>
        <w:pStyle w:val="0"/>
        <w:spacing w:line="220" w:lineRule="exact"/>
        <w:ind w:firstLine="1076" w:firstLineChars="598"/>
        <w:jc w:val="left"/>
        <w:rPr>
          <w:rFonts w:hint="default" w:asciiTheme="majorEastAsia" w:hAnsiTheme="majorEastAsia" w:eastAsiaTheme="majorEastAsia"/>
          <w:sz w:val="18"/>
        </w:rPr>
      </w:pPr>
      <w:r>
        <w:rPr>
          <w:rFonts w:hint="eastAsia" w:asciiTheme="majorEastAsia" w:hAnsiTheme="majorEastAsia" w:eastAsiaTheme="majorEastAsia"/>
          <w:sz w:val="18"/>
        </w:rPr>
        <w:t>工業用水３級：特殊の浄水操作を行うもの</w:t>
      </w:r>
    </w:p>
    <w:p>
      <w:pPr>
        <w:pStyle w:val="0"/>
        <w:spacing w:line="220" w:lineRule="exact"/>
        <w:ind w:firstLine="720" w:firstLineChars="400"/>
        <w:jc w:val="left"/>
        <w:rPr>
          <w:rFonts w:hint="default" w:asciiTheme="majorEastAsia" w:hAnsiTheme="majorEastAsia" w:eastAsiaTheme="majorEastAsia"/>
          <w:sz w:val="18"/>
        </w:rPr>
      </w:pPr>
      <w:r>
        <w:rPr>
          <w:rFonts w:hint="eastAsia" w:asciiTheme="majorEastAsia" w:hAnsiTheme="majorEastAsia" w:eastAsiaTheme="majorEastAsia"/>
          <w:sz w:val="18"/>
        </w:rPr>
        <w:t>５　環境保全　　：国民の日常生活（沿岸の遊歩等を含む。）において不快感を生じない限度</w:t>
      </w:r>
    </w:p>
    <w:p>
      <w:pPr>
        <w:pStyle w:val="0"/>
        <w:rPr>
          <w:rFonts w:hint="default" w:asciiTheme="majorEastAsia" w:hAnsiTheme="majorEastAsia" w:eastAsiaTheme="majorEastAsia"/>
          <w:sz w:val="22"/>
        </w:rPr>
      </w:pPr>
    </w:p>
    <w:p>
      <w:pPr>
        <w:pStyle w:val="0"/>
        <w:rPr>
          <w:rFonts w:hint="default" w:asciiTheme="majorEastAsia" w:hAnsiTheme="majorEastAsia" w:eastAsiaTheme="majorEastAsia"/>
        </w:rPr>
        <w:sectPr>
          <w:footerReference r:id="rId11" w:type="even"/>
          <w:footerReference r:id="rId12" w:type="default"/>
          <w:footerReference r:id="rId10" w:type="first"/>
          <w:type w:val="continuous"/>
          <w:pgSz w:w="11906" w:h="16838"/>
          <w:pgMar w:top="1134" w:right="1418" w:bottom="1134" w:left="1418" w:header="851" w:footer="992" w:gutter="0"/>
          <w:pgNumType w:fmt="numberInDash" w:start="0"/>
          <w:cols w:space="720"/>
          <w:titlePg w:val="1"/>
          <w:textDirection w:val="lrTb"/>
          <w:docGrid w:type="lines" w:linePitch="360"/>
        </w:sectPr>
      </w:pPr>
      <w:r>
        <w:rPr>
          <w:rFonts w:hint="eastAsia"/>
        </w:rPr>
        <w:br w:type="page"/>
      </w:r>
    </w:p>
    <w:p>
      <w:pPr>
        <w:pStyle w:val="0"/>
        <w:rPr>
          <w:rFonts w:hint="default" w:ascii="HG丸ｺﾞｼｯｸM-PRO" w:hAnsi="HG丸ｺﾞｼｯｸM-PRO" w:eastAsia="HG丸ｺﾞｼｯｸM-PRO"/>
          <w:sz w:val="22"/>
          <w:vertAlign w:val="subscript"/>
        </w:rPr>
      </w:pPr>
      <w:r>
        <w:rPr>
          <w:rFonts w:hint="eastAsia" w:ascii="HG丸ｺﾞｼｯｸM-PRO" w:hAnsi="HG丸ｺﾞｼｯｸM-PRO" w:eastAsia="HG丸ｺﾞｼｯｸM-PRO"/>
          <w:sz w:val="22"/>
        </w:rPr>
        <w:t>①生物化学的酸素要求量（</w:t>
      </w:r>
      <w:r>
        <w:rPr>
          <w:rFonts w:hint="eastAsia" w:ascii="HG丸ｺﾞｼｯｸM-PRO" w:hAnsi="HG丸ｺﾞｼｯｸM-PRO" w:eastAsia="HG丸ｺﾞｼｯｸM-PRO"/>
          <w:sz w:val="22"/>
        </w:rPr>
        <w:t>BOD</w:t>
      </w:r>
      <w:r>
        <w:rPr>
          <w:rFonts w:hint="eastAsia" w:ascii="HG丸ｺﾞｼｯｸM-PRO" w:hAnsi="HG丸ｺﾞｼｯｸM-PRO" w:eastAsia="HG丸ｺﾞｼｯｸM-PRO"/>
          <w:sz w:val="22"/>
        </w:rPr>
        <w:t>）</w:t>
      </w:r>
    </w:p>
    <w:p>
      <w:pPr>
        <w:pStyle w:val="0"/>
        <w:ind w:left="210" w:leftChars="1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水質汚濁の汚染指標の一つで、水中の微生物が一定時間（</w:t>
      </w:r>
      <w:r>
        <w:rPr>
          <w:rFonts w:hint="eastAsia" w:ascii="HG丸ｺﾞｼｯｸM-PRO" w:hAnsi="HG丸ｺﾞｼｯｸM-PRO" w:eastAsia="HG丸ｺﾞｼｯｸM-PRO"/>
        </w:rPr>
        <w:t>20</w:t>
      </w:r>
      <w:r>
        <w:rPr>
          <w:rFonts w:hint="eastAsia" w:ascii="HG丸ｺﾞｼｯｸM-PRO" w:hAnsi="HG丸ｺﾞｼｯｸM-PRO" w:eastAsia="HG丸ｺﾞｼｯｸM-PRO"/>
        </w:rPr>
        <w:t>℃で</w:t>
      </w:r>
      <w:r>
        <w:rPr>
          <w:rFonts w:hint="eastAsia" w:ascii="HG丸ｺﾞｼｯｸM-PRO" w:hAnsi="HG丸ｺﾞｼｯｸM-PRO" w:eastAsia="HG丸ｺﾞｼｯｸM-PRO"/>
        </w:rPr>
        <w:t>5</w:t>
      </w:r>
      <w:r>
        <w:rPr>
          <w:rFonts w:hint="eastAsia" w:ascii="HG丸ｺﾞｼｯｸM-PRO" w:hAnsi="HG丸ｺﾞｼｯｸM-PRO" w:eastAsia="HG丸ｺﾞｼｯｸM-PRO"/>
        </w:rPr>
        <w:t>日間）に有機物を酸化・分解するために消費する酵素の量を示した数値。この数値が高いほど、水中の有機物の量が多いことを示す。</w:t>
      </w:r>
    </w:p>
    <w:p>
      <w:pPr>
        <w:pStyle w:val="0"/>
        <w:ind w:leftChars="0" w:firstLineChars="0"/>
        <w:jc w:val="center"/>
        <w:rPr>
          <w:rFonts w:hint="default" w:ascii="HG丸ｺﾞｼｯｸM-PRO" w:hAnsi="HG丸ｺﾞｼｯｸM-PRO" w:eastAsia="HG丸ｺﾞｼｯｸM-PRO"/>
        </w:rPr>
      </w:pPr>
      <w:r>
        <w:rPr>
          <w:rFonts w:hint="eastAsia"/>
        </w:rPr>
        <w:drawing>
          <wp:inline distT="0" distB="0" distL="203200" distR="203200">
            <wp:extent cx="5454650" cy="3843020"/>
            <wp:effectExtent l="24130" t="24130" r="23495" b="23495"/>
            <wp:docPr id="1107" name="オブジェクト 0"/>
            <a:graphic xmlns:a="http://schemas.openxmlformats.org/drawingml/2006/main">
              <a:graphicData uri="http://schemas.openxmlformats.org/drawingml/2006/picture">
                <pic:pic xmlns:pic="http://schemas.openxmlformats.org/drawingml/2006/picture">
                  <pic:nvPicPr>
                    <pic:cNvPr id="1107" name="オブジェクト 0"/>
                    <pic:cNvPicPr>
                      <a:picLocks noChangeAspect="1"/>
                    </pic:cNvPicPr>
                  </pic:nvPicPr>
                  <pic:blipFill>
                    <a:blip r:embed="rId48"/>
                    <a:srcRect l="2480" t="876" r="2811" b="10721"/>
                    <a:stretch>
                      <a:fillRect/>
                    </a:stretch>
                  </pic:blipFill>
                  <pic:spPr>
                    <a:xfrm>
                      <a:off x="0" y="0"/>
                      <a:ext cx="5454650" cy="3843020"/>
                    </a:xfrm>
                    <a:prstGeom prst="rect">
                      <a:avLst/>
                    </a:prstGeom>
                    <a:ln>
                      <a:solidFill>
                        <a:schemeClr val="tx1"/>
                      </a:solidFill>
                    </a:ln>
                  </pic:spPr>
                </pic:pic>
              </a:graphicData>
            </a:graphic>
          </wp:inline>
        </w:drawing>
      </w:r>
    </w:p>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②水素イオン濃度（ｐ</w:t>
      </w:r>
      <w:r>
        <w:rPr>
          <w:rFonts w:hint="eastAsia" w:ascii="HG丸ｺﾞｼｯｸM-PRO" w:hAnsi="HG丸ｺﾞｼｯｸM-PRO" w:eastAsia="HG丸ｺﾞｼｯｸM-PRO"/>
          <w:sz w:val="22"/>
        </w:rPr>
        <w:t>H</w:t>
      </w:r>
      <w:r>
        <w:rPr>
          <w:rFonts w:hint="eastAsia" w:ascii="HG丸ｺﾞｼｯｸM-PRO" w:hAnsi="HG丸ｺﾞｼｯｸM-PRO" w:eastAsia="HG丸ｺﾞｼｯｸM-PRO"/>
          <w:sz w:val="22"/>
        </w:rPr>
        <w:t>）</w:t>
      </w:r>
    </w:p>
    <w:p>
      <w:pPr>
        <w:pStyle w:val="0"/>
        <w:ind w:left="210" w:leftChars="100"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水の酸性・アルカリ性を表す指標。中性は７。数字が小さいほど酸性が高くなる</w:t>
      </w:r>
      <w:r>
        <w:rPr>
          <w:rFonts w:hint="eastAsia" w:ascii="HG丸ｺﾞｼｯｸM-PRO" w:hAnsi="HG丸ｺﾞｼｯｸM-PRO" w:eastAsia="HG丸ｺﾞｼｯｸM-PRO"/>
          <w:sz w:val="22"/>
        </w:rPr>
        <w:t>。</w:t>
      </w:r>
      <w:r>
        <w:rPr>
          <w:rFonts w:hint="eastAsia" w:ascii="HG丸ｺﾞｼｯｸM-PRO" w:hAnsi="HG丸ｺﾞｼｯｸM-PRO" w:eastAsia="HG丸ｺﾞｼｯｸM-PRO"/>
        </w:rPr>
        <w:t>環境基準は</w:t>
      </w:r>
      <w:r>
        <w:rPr>
          <w:rFonts w:hint="eastAsia" w:ascii="HG丸ｺﾞｼｯｸM-PRO" w:hAnsi="HG丸ｺﾞｼｯｸM-PRO" w:eastAsia="HG丸ｺﾞｼｯｸM-PRO"/>
        </w:rPr>
        <w:t>6.5</w:t>
      </w:r>
      <w:r>
        <w:rPr>
          <w:rFonts w:hint="eastAsia" w:ascii="HG丸ｺﾞｼｯｸM-PRO" w:hAnsi="HG丸ｺﾞｼｯｸM-PRO" w:eastAsia="HG丸ｺﾞｼｯｸM-PRO"/>
        </w:rPr>
        <w:t>以上</w:t>
      </w:r>
      <w:r>
        <w:rPr>
          <w:rFonts w:hint="eastAsia" w:ascii="HG丸ｺﾞｼｯｸM-PRO" w:hAnsi="HG丸ｺﾞｼｯｸM-PRO" w:eastAsia="HG丸ｺﾞｼｯｸM-PRO"/>
        </w:rPr>
        <w:t>8.5</w:t>
      </w:r>
      <w:r>
        <w:rPr>
          <w:rFonts w:hint="eastAsia" w:ascii="HG丸ｺﾞｼｯｸM-PRO" w:hAnsi="HG丸ｺﾞｼｯｸM-PRO" w:eastAsia="HG丸ｺﾞｼｯｸM-PRO"/>
        </w:rPr>
        <w:t>以下である。</w:t>
      </w:r>
    </w:p>
    <w:p>
      <w:pPr>
        <w:pStyle w:val="0"/>
        <w:ind w:leftChars="0" w:firstLineChars="0"/>
        <w:jc w:val="center"/>
        <w:rPr>
          <w:rFonts w:hint="default" w:ascii="HG丸ｺﾞｼｯｸM-PRO" w:hAnsi="HG丸ｺﾞｼｯｸM-PRO" w:eastAsia="HG丸ｺﾞｼｯｸM-PRO"/>
        </w:rPr>
      </w:pPr>
      <w:r>
        <w:rPr>
          <w:rFonts w:hint="eastAsia"/>
        </w:rPr>
        <w:drawing>
          <wp:inline distT="0" distB="0" distL="203200" distR="203200">
            <wp:extent cx="5265420" cy="3730625"/>
            <wp:effectExtent l="24130" t="24130" r="23495" b="23495"/>
            <wp:docPr id="1108" name="オブジェクト 0"/>
            <a:graphic xmlns:a="http://schemas.openxmlformats.org/drawingml/2006/main">
              <a:graphicData uri="http://schemas.openxmlformats.org/drawingml/2006/picture">
                <pic:pic xmlns:pic="http://schemas.openxmlformats.org/drawingml/2006/picture">
                  <pic:nvPicPr>
                    <pic:cNvPr id="1108" name="オブジェクト 0"/>
                    <pic:cNvPicPr>
                      <a:picLocks noChangeAspect="1"/>
                    </pic:cNvPicPr>
                  </pic:nvPicPr>
                  <pic:blipFill>
                    <a:blip r:embed="rId49"/>
                    <a:srcRect l="2443" t="2206" r="1047" b="1717"/>
                    <a:stretch>
                      <a:fillRect/>
                    </a:stretch>
                  </pic:blipFill>
                  <pic:spPr>
                    <a:xfrm>
                      <a:off x="0" y="0"/>
                      <a:ext cx="5265420" cy="3730625"/>
                    </a:xfrm>
                    <a:prstGeom prst="rect">
                      <a:avLst/>
                    </a:prstGeom>
                    <a:ln>
                      <a:solidFill>
                        <a:schemeClr val="tx1"/>
                      </a:solidFill>
                    </a:ln>
                  </pic:spPr>
                </pic:pic>
              </a:graphicData>
            </a:graphic>
          </wp:inline>
        </w:drawing>
      </w:r>
    </w:p>
    <w:p>
      <w:pPr>
        <w:pStyle w:val="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4"/>
        </w:rPr>
        <w:t>③</w:t>
      </w:r>
      <w:r>
        <w:rPr>
          <w:rFonts w:hint="eastAsia" w:ascii="HG丸ｺﾞｼｯｸM-PRO" w:hAnsi="HG丸ｺﾞｼｯｸM-PRO" w:eastAsia="HG丸ｺﾞｼｯｸM-PRO"/>
          <w:sz w:val="22"/>
        </w:rPr>
        <w:t>溶存酸素量（</w:t>
      </w:r>
      <w:r>
        <w:rPr>
          <w:rFonts w:hint="eastAsia" w:ascii="HG丸ｺﾞｼｯｸM-PRO" w:hAnsi="HG丸ｺﾞｼｯｸM-PRO" w:eastAsia="HG丸ｺﾞｼｯｸM-PRO"/>
          <w:sz w:val="22"/>
        </w:rPr>
        <w:t>DO</w:t>
      </w:r>
      <w:r>
        <w:rPr>
          <w:rFonts w:hint="eastAsia" w:ascii="HG丸ｺﾞｼｯｸM-PRO" w:hAnsi="HG丸ｺﾞｼｯｸM-PRO" w:eastAsia="HG丸ｺﾞｼｯｸM-PRO"/>
          <w:sz w:val="22"/>
        </w:rPr>
        <w:t>）</w:t>
      </w:r>
    </w:p>
    <w:p>
      <w:pPr>
        <w:pStyle w:val="0"/>
        <w:ind w:left="220" w:hanging="220" w:hangingChars="100"/>
        <w:rPr>
          <w:rFonts w:hint="default" w:ascii="HG丸ｺﾞｼｯｸM-PRO" w:hAnsi="HG丸ｺﾞｼｯｸM-PRO" w:eastAsia="HG丸ｺﾞｼｯｸM-PRO"/>
        </w:rPr>
      </w:pPr>
      <w:r>
        <w:rPr>
          <w:rFonts w:hint="eastAsia" w:ascii="HG丸ｺﾞｼｯｸM-PRO" w:hAnsi="HG丸ｺﾞｼｯｸM-PRO" w:eastAsia="HG丸ｺﾞｼｯｸM-PRO"/>
          <w:sz w:val="22"/>
        </w:rPr>
        <w:t>　</w:t>
      </w:r>
      <w:r>
        <w:rPr>
          <w:rFonts w:hint="eastAsia" w:ascii="HG丸ｺﾞｼｯｸM-PRO" w:hAnsi="HG丸ｺﾞｼｯｸM-PRO" w:eastAsia="HG丸ｺﾞｼｯｸM-PRO"/>
        </w:rPr>
        <w:t>　水に溶解している酸素の量。水生生物の生息に必要であり、例えばアオコが繁茂した池などを除き、一般的に数値が大きいほど良好な環境であることを示す。</w:t>
      </w:r>
    </w:p>
    <w:p>
      <w:pPr>
        <w:pStyle w:val="0"/>
        <w:ind w:left="220" w:hanging="220" w:hangingChars="100"/>
        <w:jc w:val="center"/>
        <w:rPr>
          <w:rFonts w:hint="default" w:ascii="HG丸ｺﾞｼｯｸM-PRO" w:hAnsi="HG丸ｺﾞｼｯｸM-PRO" w:eastAsia="HG丸ｺﾞｼｯｸM-PRO"/>
        </w:rPr>
      </w:pPr>
      <w:r>
        <w:rPr>
          <w:rFonts w:hint="eastAsia"/>
        </w:rPr>
        <w:drawing>
          <wp:inline distT="0" distB="0" distL="203200" distR="203200">
            <wp:extent cx="5334635" cy="3921125"/>
            <wp:effectExtent l="24130" t="24130" r="23495" b="23495"/>
            <wp:docPr id="1109" name="オブジェクト 0"/>
            <a:graphic xmlns:a="http://schemas.openxmlformats.org/drawingml/2006/main">
              <a:graphicData uri="http://schemas.openxmlformats.org/drawingml/2006/picture">
                <pic:pic xmlns:pic="http://schemas.openxmlformats.org/drawingml/2006/picture">
                  <pic:nvPicPr>
                    <pic:cNvPr id="1109" name="オブジェクト 0"/>
                    <pic:cNvPicPr>
                      <a:picLocks noChangeAspect="1"/>
                    </pic:cNvPicPr>
                  </pic:nvPicPr>
                  <pic:blipFill>
                    <a:blip r:embed="rId50"/>
                    <a:srcRect l="6894" t="1176" r="1149" b="1883"/>
                    <a:stretch>
                      <a:fillRect/>
                    </a:stretch>
                  </pic:blipFill>
                  <pic:spPr>
                    <a:xfrm>
                      <a:off x="0" y="0"/>
                      <a:ext cx="5334635" cy="3921125"/>
                    </a:xfrm>
                    <a:prstGeom prst="rect">
                      <a:avLst/>
                    </a:prstGeom>
                    <a:ln>
                      <a:solidFill>
                        <a:schemeClr val="tx1"/>
                      </a:solidFill>
                    </a:ln>
                  </pic:spPr>
                </pic:pic>
              </a:graphicData>
            </a:graphic>
          </wp:inline>
        </w:drawing>
      </w:r>
    </w:p>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④浮遊物質量（</w:t>
      </w:r>
      <w:r>
        <w:rPr>
          <w:rFonts w:hint="eastAsia" w:ascii="HG丸ｺﾞｼｯｸM-PRO" w:hAnsi="HG丸ｺﾞｼｯｸM-PRO" w:eastAsia="HG丸ｺﾞｼｯｸM-PRO"/>
          <w:sz w:val="22"/>
        </w:rPr>
        <w:t>SS</w:t>
      </w:r>
      <w:r>
        <w:rPr>
          <w:rFonts w:hint="eastAsia" w:ascii="HG丸ｺﾞｼｯｸM-PRO" w:hAnsi="HG丸ｺﾞｼｯｸM-PRO" w:eastAsia="HG丸ｺﾞｼｯｸM-PRO"/>
          <w:sz w:val="22"/>
        </w:rPr>
        <w:t>）</w:t>
      </w:r>
    </w:p>
    <w:p>
      <w:pPr>
        <w:pStyle w:val="0"/>
        <w:ind w:left="480" w:hanging="480" w:hangingChars="200"/>
        <w:jc w:val="left"/>
        <w:rPr>
          <w:rFonts w:hint="default" w:ascii="HG丸ｺﾞｼｯｸM-PRO" w:hAnsi="HG丸ｺﾞｼｯｸM-PRO" w:eastAsia="HG丸ｺﾞｼｯｸM-PRO"/>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rPr>
        <w:t>水中に懸濁している不溶解性物質のことで、水の濁り、透明度等の外観に影響を与える。</w:t>
      </w:r>
    </w:p>
    <w:p>
      <w:pPr>
        <w:pStyle w:val="0"/>
        <w:ind w:left="420" w:hanging="420" w:hangingChars="200"/>
        <w:jc w:val="center"/>
        <w:rPr>
          <w:rFonts w:hint="default" w:ascii="HG丸ｺﾞｼｯｸM-PRO" w:hAnsi="HG丸ｺﾞｼｯｸM-PRO" w:eastAsia="HG丸ｺﾞｼｯｸM-PRO"/>
        </w:rPr>
      </w:pPr>
      <w:r>
        <w:rPr>
          <w:rFonts w:hint="eastAsia"/>
        </w:rPr>
        <w:drawing>
          <wp:inline distT="0" distB="0" distL="203200" distR="203200">
            <wp:extent cx="5067935" cy="3521710"/>
            <wp:effectExtent l="24130" t="24130" r="23495" b="23495"/>
            <wp:docPr id="1110" name="オブジェクト 0"/>
            <a:graphic xmlns:a="http://schemas.openxmlformats.org/drawingml/2006/main">
              <a:graphicData uri="http://schemas.openxmlformats.org/drawingml/2006/picture">
                <pic:pic xmlns:pic="http://schemas.openxmlformats.org/drawingml/2006/picture">
                  <pic:nvPicPr>
                    <pic:cNvPr id="1110" name="オブジェクト 0"/>
                    <pic:cNvPicPr>
                      <a:picLocks noChangeAspect="1"/>
                    </pic:cNvPicPr>
                  </pic:nvPicPr>
                  <pic:blipFill>
                    <a:blip r:embed="rId51"/>
                    <a:srcRect l="2530" t="2599" r="1265" b="1299"/>
                    <a:stretch>
                      <a:fillRect/>
                    </a:stretch>
                  </pic:blipFill>
                  <pic:spPr>
                    <a:xfrm>
                      <a:off x="0" y="0"/>
                      <a:ext cx="5067935" cy="3521710"/>
                    </a:xfrm>
                    <a:prstGeom prst="rect">
                      <a:avLst/>
                    </a:prstGeom>
                    <a:ln>
                      <a:solidFill>
                        <a:schemeClr val="tx1"/>
                      </a:solidFill>
                    </a:ln>
                  </pic:spPr>
                </pic:pic>
              </a:graphicData>
            </a:graphic>
          </wp:inline>
        </w:drawing>
      </w:r>
    </w:p>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⑤大腸菌群数</w:t>
      </w:r>
    </w:p>
    <w:p>
      <w:pPr>
        <w:pStyle w:val="0"/>
        <w:ind w:left="240" w:hanging="240" w:hangingChars="100"/>
        <w:rPr>
          <w:rFonts w:hint="default" w:ascii="HG丸ｺﾞｼｯｸM-PRO" w:hAnsi="HG丸ｺﾞｼｯｸM-PRO" w:eastAsia="HG丸ｺﾞｼｯｸM-PRO"/>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rPr>
        <w:t>大腸菌及び大腸菌と性質が似ている細菌の数の指標で、哺乳類や鳥類の消化管内に生息するほか、自然界にも存在している。</w:t>
      </w:r>
    </w:p>
    <w:p>
      <w:pPr>
        <w:pStyle w:val="0"/>
        <w:ind w:left="240" w:hanging="240" w:hangingChars="100"/>
        <w:jc w:val="center"/>
        <w:rPr>
          <w:rFonts w:hint="default" w:ascii="HG丸ｺﾞｼｯｸM-PRO" w:hAnsi="HG丸ｺﾞｼｯｸM-PRO" w:eastAsia="HG丸ｺﾞｼｯｸM-PRO"/>
        </w:rPr>
      </w:pPr>
      <w:r>
        <w:rPr>
          <w:rFonts w:hint="eastAsia"/>
        </w:rPr>
        <w:drawing>
          <wp:inline distT="0" distB="0" distL="203200" distR="203200">
            <wp:extent cx="5972810" cy="4305300"/>
            <wp:effectExtent l="24130" t="24130" r="23495" b="23495"/>
            <wp:docPr id="1111" name="オブジェクト 0"/>
            <a:graphic xmlns:a="http://schemas.openxmlformats.org/drawingml/2006/main">
              <a:graphicData uri="http://schemas.openxmlformats.org/drawingml/2006/picture">
                <pic:pic xmlns:pic="http://schemas.openxmlformats.org/drawingml/2006/picture">
                  <pic:nvPicPr>
                    <pic:cNvPr id="1111" name="オブジェクト 0"/>
                    <pic:cNvPicPr>
                      <a:picLocks noChangeAspect="1"/>
                    </pic:cNvPicPr>
                  </pic:nvPicPr>
                  <pic:blipFill>
                    <a:blip r:embed="rId52"/>
                    <a:srcRect l="626" t="861" r="1096" b="1723"/>
                    <a:stretch>
                      <a:fillRect/>
                    </a:stretch>
                  </pic:blipFill>
                  <pic:spPr>
                    <a:xfrm>
                      <a:off x="0" y="0"/>
                      <a:ext cx="5972810" cy="4305300"/>
                    </a:xfrm>
                    <a:prstGeom prst="rect">
                      <a:avLst/>
                    </a:prstGeom>
                    <a:ln>
                      <a:solidFill>
                        <a:schemeClr val="tx1"/>
                      </a:solidFill>
                    </a:ln>
                  </pic:spPr>
                </pic:pic>
              </a:graphicData>
            </a:graphic>
          </wp:inline>
        </w:drawing>
      </w:r>
    </w:p>
    <w:p>
      <w:pPr>
        <w:pStyle w:val="0"/>
        <w:ind w:left="630" w:hanging="630" w:hangingChars="300"/>
        <w:jc w:val="center"/>
        <w:rPr>
          <w:rFonts w:hint="default" w:ascii="HG丸ｺﾞｼｯｸM-PRO" w:hAnsi="HG丸ｺﾞｼｯｸM-PRO" w:eastAsia="HG丸ｺﾞｼｯｸM-PRO"/>
        </w:rPr>
      </w:pPr>
    </w:p>
    <w:p>
      <w:pPr>
        <w:pStyle w:val="0"/>
        <w:jc w:val="center"/>
        <w:rPr>
          <w:rFonts w:hint="default" w:ascii="HG丸ｺﾞｼｯｸM-PRO" w:hAnsi="HG丸ｺﾞｼｯｸM-PRO" w:eastAsia="HG丸ｺﾞｼｯｸM-PRO"/>
          <w:sz w:val="24"/>
        </w:rPr>
      </w:pPr>
      <w:r>
        <w:rPr>
          <w:rFonts w:hint="default" w:ascii="HG丸ｺﾞｼｯｸM-PRO" w:hAnsi="HG丸ｺﾞｼｯｸM-PRO" w:eastAsia="HG丸ｺﾞｼｯｸM-PRO"/>
          <w:sz w:val="22"/>
        </w:rPr>
        <mc:AlternateContent>
          <mc:Choice Requires="wps">
            <w:drawing>
              <wp:anchor distT="0" distB="0" distL="114300" distR="114300" simplePos="0" relativeHeight="54" behindDoc="0" locked="0" layoutInCell="1" hidden="0" allowOverlap="1">
                <wp:simplePos x="0" y="0"/>
                <wp:positionH relativeFrom="column">
                  <wp:posOffset>3261995</wp:posOffset>
                </wp:positionH>
                <wp:positionV relativeFrom="paragraph">
                  <wp:posOffset>3518535</wp:posOffset>
                </wp:positionV>
                <wp:extent cx="2962275" cy="1807845"/>
                <wp:effectExtent l="0" t="0" r="635" b="635"/>
                <wp:wrapNone/>
                <wp:docPr id="1112" name="テキスト ボックス 2"/>
                <a:graphic xmlns:a="http://schemas.openxmlformats.org/drawingml/2006/main">
                  <a:graphicData uri="http://schemas.microsoft.com/office/word/2010/wordprocessingShape">
                    <wps:wsp>
                      <wps:cNvPr id="1112" name="テキスト ボックス 2"/>
                      <wps:cNvSpPr txBox="1">
                        <a:spLocks noChangeArrowheads="1"/>
                      </wps:cNvSpPr>
                      <wps:spPr>
                        <a:xfrm>
                          <a:off x="0" y="0"/>
                          <a:ext cx="2962275" cy="1807845"/>
                        </a:xfrm>
                        <a:prstGeom prst="rect">
                          <a:avLst/>
                        </a:prstGeom>
                        <a:noFill/>
                        <a:ln w="9525">
                          <a:noFill/>
                          <a:miter lim="800000"/>
                          <a:headEnd/>
                          <a:tailEnd/>
                        </a:ln>
                      </wps:spPr>
                      <wps:txbx>
                        <w:txbxContent>
                          <w:p>
                            <w:pPr>
                              <w:pStyle w:val="0"/>
                              <w:rPr>
                                <w:rFonts w:hint="default"/>
                                <w:sz w:val="18"/>
                              </w:rPr>
                            </w:pP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277.05pt;mso-position-vertical-relative:text;mso-position-horizontal-relative:text;v-text-anchor:top;position:absolute;height:142.35pt;mso-wrap-distance-top:0pt;width:233.25pt;mso-wrap-distance-left:9pt;margin-left:256.85000000000002pt;z-index:54;" o:spid="_x0000_s1112" o:allowincell="t" o:allowoverlap="t" filled="f" stroked="f" strokeweight="0.75pt" o:spt="202" type="#_x0000_t202">
                <v:fill/>
                <v:stroke miterlimit="8"/>
                <v:textbox style="layout-flow:horizontal;mso-fit-shape-to-text:t;">
                  <w:txbxContent>
                    <w:p>
                      <w:pPr>
                        <w:pStyle w:val="0"/>
                        <w:rPr>
                          <w:rFonts w:hint="default"/>
                          <w:sz w:val="18"/>
                        </w:rPr>
                      </w:pPr>
                    </w:p>
                  </w:txbxContent>
                </v:textbox>
                <v:imagedata o:title=""/>
                <w10:wrap type="none" anchorx="text" anchory="text"/>
              </v:shape>
            </w:pict>
          </mc:Fallback>
        </mc:AlternateContent>
      </w: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sz w:val="22"/>
        </w:rPr>
        <w:t>数値については全て「公共用水域及び地下水の水質測定結果（岡山県）」を参照とした。</w:t>
      </w:r>
    </w:p>
    <w:p>
      <w:pPr>
        <w:pStyle w:val="0"/>
        <w:widowControl w:val="1"/>
        <w:jc w:val="left"/>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br w:type="page"/>
      </w:r>
    </w:p>
    <w:p>
      <w:pPr>
        <w:pStyle w:val="0"/>
        <w:widowControl w:val="1"/>
        <w:jc w:val="left"/>
        <w:rPr>
          <w:rFonts w:hint="default" w:ascii="HG丸ｺﾞｼｯｸM-PRO" w:hAnsi="HG丸ｺﾞｼｯｸM-PRO" w:eastAsia="HG丸ｺﾞｼｯｸM-PRO"/>
          <w:sz w:val="24"/>
          <w:u w:val="single" w:color="auto"/>
        </w:rPr>
      </w:pPr>
      <w:r>
        <w:rPr>
          <w:rFonts w:hint="eastAsia" w:ascii="HG丸ｺﾞｼｯｸM-PRO" w:hAnsi="HG丸ｺﾞｼｯｸM-PRO" w:eastAsia="HG丸ｺﾞｼｯｸM-PRO"/>
          <w:sz w:val="24"/>
          <w:u w:val="single" w:color="auto"/>
        </w:rPr>
        <w:t>（４）地下水</w:t>
      </w:r>
    </w:p>
    <w:tbl>
      <w:tblPr>
        <w:tblStyle w:val="11"/>
        <w:tblW w:w="5089" w:type="pct"/>
        <w:tblInd w:w="0" w:type="dxa"/>
        <w:tblLayout w:type="fixed"/>
        <w:tblCellMar>
          <w:left w:w="99" w:type="dxa"/>
          <w:right w:w="99" w:type="dxa"/>
        </w:tblCellMar>
        <w:tblLook w:firstRow="1" w:lastRow="0" w:firstColumn="1" w:lastColumn="0" w:noHBand="0" w:noVBand="1" w:val="04A0"/>
      </w:tblPr>
      <w:tblGrid>
        <w:gridCol w:w="466"/>
        <w:gridCol w:w="2336"/>
        <w:gridCol w:w="2013"/>
        <w:gridCol w:w="1337"/>
        <w:gridCol w:w="1342"/>
        <w:gridCol w:w="1343"/>
        <w:gridCol w:w="1164"/>
        <w:gridCol w:w="1164"/>
      </w:tblGrid>
      <w:tr>
        <w:trPr>
          <w:trHeight w:val="270" w:hRule="atLeast"/>
        </w:trPr>
        <w:tc>
          <w:tcPr>
            <w:tcW w:w="1923" w:type="pct"/>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年度</w:t>
            </w:r>
          </w:p>
        </w:tc>
        <w:tc>
          <w:tcPr>
            <w:tcW w:w="534"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H27</w:t>
            </w:r>
            <w:r>
              <w:rPr>
                <w:rFonts w:hint="eastAsia" w:ascii="ＭＳ Ｐゴシック" w:hAnsi="ＭＳ Ｐゴシック" w:eastAsia="ＭＳ Ｐゴシック"/>
                <w:color w:val="000000"/>
                <w:kern w:val="0"/>
                <w:sz w:val="20"/>
              </w:rPr>
              <w:t>年度</w:t>
            </w:r>
          </w:p>
        </w:tc>
        <w:tc>
          <w:tcPr>
            <w:tcW w:w="536"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H28</w:t>
            </w:r>
            <w:r>
              <w:rPr>
                <w:rFonts w:hint="eastAsia" w:ascii="ＭＳ Ｐゴシック" w:hAnsi="ＭＳ Ｐゴシック" w:eastAsia="ＭＳ Ｐゴシック"/>
                <w:color w:val="000000"/>
                <w:kern w:val="0"/>
                <w:sz w:val="20"/>
              </w:rPr>
              <w:t>年度</w:t>
            </w:r>
          </w:p>
        </w:tc>
        <w:tc>
          <w:tcPr>
            <w:tcW w:w="536"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H29</w:t>
            </w:r>
            <w:r>
              <w:rPr>
                <w:rFonts w:hint="eastAsia" w:ascii="ＭＳ Ｐゴシック" w:hAnsi="ＭＳ Ｐゴシック" w:eastAsia="ＭＳ Ｐゴシック"/>
                <w:color w:val="000000"/>
                <w:kern w:val="0"/>
                <w:sz w:val="20"/>
              </w:rPr>
              <w:t>年度</w:t>
            </w:r>
          </w:p>
        </w:tc>
        <w:tc>
          <w:tcPr>
            <w:tcW w:w="46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H30</w:t>
            </w:r>
            <w:r>
              <w:rPr>
                <w:rFonts w:hint="eastAsia" w:ascii="ＭＳ Ｐゴシック" w:hAnsi="ＭＳ Ｐゴシック" w:eastAsia="ＭＳ Ｐゴシック"/>
                <w:color w:val="000000"/>
                <w:kern w:val="0"/>
                <w:sz w:val="20"/>
              </w:rPr>
              <w:t>年度</w:t>
            </w:r>
          </w:p>
        </w:tc>
        <w:tc>
          <w:tcPr>
            <w:tcW w:w="46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R1</w:t>
            </w:r>
            <w:r>
              <w:rPr>
                <w:rFonts w:hint="eastAsia" w:ascii="ＭＳ Ｐゴシック" w:hAnsi="ＭＳ Ｐゴシック" w:eastAsia="ＭＳ Ｐゴシック"/>
                <w:color w:val="000000"/>
                <w:kern w:val="0"/>
                <w:sz w:val="20"/>
              </w:rPr>
              <w:t>年度</w:t>
            </w:r>
          </w:p>
        </w:tc>
      </w:tr>
      <w:tr>
        <w:trPr>
          <w:trHeight w:val="396" w:hRule="atLeast"/>
        </w:trPr>
        <w:tc>
          <w:tcPr>
            <w:tcW w:w="1923" w:type="pct"/>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調査地点</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福田下</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坪井上</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原</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中北下</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倉見</w:t>
            </w:r>
          </w:p>
        </w:tc>
      </w:tr>
      <w:tr>
        <w:trPr>
          <w:trHeight w:val="270" w:hRule="atLeast"/>
        </w:trPr>
        <w:tc>
          <w:tcPr>
            <w:tcW w:w="1923" w:type="pct"/>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用途</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一般飲用</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18"/>
              </w:rPr>
              <w:t>生活用水</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18"/>
              </w:rPr>
              <w:t>生活用水</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18"/>
              </w:rPr>
              <w:t>生活用水</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18"/>
              </w:rPr>
              <w:t>水道水源</w:t>
            </w:r>
          </w:p>
        </w:tc>
      </w:tr>
      <w:tr>
        <w:trPr>
          <w:trHeight w:val="270" w:hRule="atLeast"/>
        </w:trPr>
        <w:tc>
          <w:tcPr>
            <w:tcW w:w="1923" w:type="pct"/>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測定機関</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岡山県</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岡山県</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岡山県</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岡山県</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岡山県</w:t>
            </w:r>
          </w:p>
        </w:tc>
      </w:tr>
      <w:tr>
        <w:trPr>
          <w:trHeight w:val="270" w:hRule="atLeast"/>
        </w:trPr>
        <w:tc>
          <w:tcPr>
            <w:tcW w:w="186" w:type="pct"/>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項目及び基準値</w:t>
            </w: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カドミウム</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0.003mg/L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全シアン</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検出されないこと</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鉛</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0.01mg/L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六価クロム</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0.05mg/L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砒素</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0.01mg/L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総水銀</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0.0005mg/L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アルキル水銀</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検出されないこと</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PCB</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検出されないこと</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ジクロロメタン</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0.02mg/L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四塩化炭素</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0.002mg/L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塩化ビニルモノマー</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0.002mg/L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1,2-</w:t>
            </w:r>
            <w:r>
              <w:rPr>
                <w:rFonts w:hint="eastAsia" w:ascii="ＭＳ Ｐゴシック" w:hAnsi="ＭＳ Ｐゴシック" w:eastAsia="ＭＳ Ｐゴシック"/>
                <w:color w:val="000000"/>
                <w:kern w:val="0"/>
                <w:sz w:val="20"/>
              </w:rPr>
              <w:t>ジクロロエタン</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0.004mg/L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1,1-</w:t>
            </w:r>
            <w:r>
              <w:rPr>
                <w:rFonts w:hint="eastAsia" w:ascii="ＭＳ Ｐゴシック" w:hAnsi="ＭＳ Ｐゴシック" w:eastAsia="ＭＳ Ｐゴシック"/>
                <w:color w:val="000000"/>
                <w:kern w:val="0"/>
                <w:sz w:val="20"/>
              </w:rPr>
              <w:t>ジクロロエチレン</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0.1mg/L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1,2-</w:t>
            </w:r>
            <w:r>
              <w:rPr>
                <w:rFonts w:hint="eastAsia" w:ascii="ＭＳ Ｐゴシック" w:hAnsi="ＭＳ Ｐゴシック" w:eastAsia="ＭＳ Ｐゴシック"/>
                <w:color w:val="000000"/>
                <w:kern w:val="0"/>
                <w:sz w:val="20"/>
              </w:rPr>
              <w:t>ジクロロエチレン</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0.04mg/L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1,1,1-</w:t>
            </w:r>
            <w:r>
              <w:rPr>
                <w:rFonts w:hint="eastAsia" w:ascii="ＭＳ Ｐゴシック" w:hAnsi="ＭＳ Ｐゴシック" w:eastAsia="ＭＳ Ｐゴシック"/>
                <w:color w:val="000000"/>
                <w:kern w:val="0"/>
                <w:sz w:val="20"/>
              </w:rPr>
              <w:t>トリクロロエタン</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1mg/L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1,1,2-</w:t>
            </w:r>
            <w:r>
              <w:rPr>
                <w:rFonts w:hint="eastAsia" w:ascii="ＭＳ Ｐゴシック" w:hAnsi="ＭＳ Ｐゴシック" w:eastAsia="ＭＳ Ｐゴシック"/>
                <w:color w:val="000000"/>
                <w:kern w:val="0"/>
                <w:sz w:val="20"/>
              </w:rPr>
              <w:t>トリクロロエタン</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0.006mg/L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トリクロロエチレン</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0.01mg/L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テトラクロロエチレン</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0.01mg/L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1,3-</w:t>
            </w:r>
            <w:r>
              <w:rPr>
                <w:rFonts w:hint="eastAsia" w:ascii="ＭＳ Ｐゴシック" w:hAnsi="ＭＳ Ｐゴシック" w:eastAsia="ＭＳ Ｐゴシック"/>
                <w:color w:val="000000"/>
                <w:kern w:val="0"/>
                <w:sz w:val="20"/>
              </w:rPr>
              <w:t>ジクロロプロペン</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0.002mg/L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チウラム</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0.006mg/L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シマジン</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0.003mg/L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チオベンカルブ</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0.02mg/L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ベンゼン</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0.01mg/L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セレン</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0.01mg/L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default" w:ascii="ＭＳ Ｐゴシック" w:hAnsi="ＭＳ Ｐゴシック" w:eastAsia="ＭＳ Ｐゴシック"/>
                <w:color w:val="000000"/>
                <w:kern w:val="0"/>
                <w:sz w:val="20"/>
              </w:rPr>
            </w:pPr>
            <w:r>
              <w:rPr>
                <w:rFonts w:hint="eastAsia" w:ascii="ＭＳ Ｐゴシック" w:hAnsi="ＭＳ Ｐゴシック" w:eastAsia="ＭＳ Ｐゴシック"/>
                <w:color w:val="000000"/>
                <w:kern w:val="0"/>
                <w:sz w:val="20"/>
              </w:rPr>
              <w:t>硝酸性窒素及び</w:t>
            </w:r>
          </w:p>
          <w:p>
            <w:pPr>
              <w:pStyle w:val="0"/>
              <w:widowControl w:val="1"/>
              <w:jc w:val="left"/>
              <w:rPr>
                <w:rFonts w:hint="eastAsia"/>
              </w:rPr>
            </w:pPr>
            <w:r>
              <w:rPr>
                <w:rFonts w:hint="eastAsia" w:ascii="ＭＳ Ｐゴシック" w:hAnsi="ＭＳ Ｐゴシック" w:eastAsia="ＭＳ Ｐゴシック"/>
                <w:color w:val="000000"/>
                <w:kern w:val="0"/>
                <w:sz w:val="20"/>
              </w:rPr>
              <w:t>亜硝酸性窒素</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10mg/L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 xml:space="preserve">4.2 </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 xml:space="preserve">1.8 </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 xml:space="preserve">1.2 </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 xml:space="preserve">0.66 </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0.51</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ふっ素</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0.8mg/L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ほう素</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1mg/L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r>
        <w:trPr>
          <w:trHeight w:val="270" w:hRule="atLeast"/>
        </w:trPr>
        <w:tc>
          <w:tcPr>
            <w:tcW w:w="186"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933"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1,4-</w:t>
            </w:r>
            <w:r>
              <w:rPr>
                <w:rFonts w:hint="eastAsia" w:ascii="ＭＳ Ｐゴシック" w:hAnsi="ＭＳ Ｐゴシック" w:eastAsia="ＭＳ Ｐゴシック"/>
                <w:color w:val="000000"/>
                <w:kern w:val="0"/>
                <w:sz w:val="20"/>
              </w:rPr>
              <w:t>ジオキサン</w:t>
            </w:r>
          </w:p>
        </w:tc>
        <w:tc>
          <w:tcPr>
            <w:tcW w:w="804" w:type="pct"/>
            <w:tcBorders>
              <w:top w:val="nil"/>
              <w:left w:val="nil"/>
              <w:bottom w:val="single" w:color="auto" w:sz="4" w:space="0"/>
              <w:right w:val="single" w:color="auto" w:sz="4" w:space="0"/>
              <w:tl2br w:val="none" w:color="auto" w:sz="0" w:space="0"/>
              <w:tr2bl w:val="none" w:color="auto" w:sz="0" w:space="0"/>
            </w:tcBorders>
            <w:shd w:val="clear" w:color="000000" w:fill="D9D9D9"/>
            <w:vAlign w:val="center"/>
          </w:tcPr>
          <w:p>
            <w:pPr>
              <w:pStyle w:val="0"/>
              <w:widowControl w:val="1"/>
              <w:jc w:val="left"/>
              <w:rPr>
                <w:rFonts w:hint="eastAsia"/>
              </w:rPr>
            </w:pPr>
            <w:r>
              <w:rPr>
                <w:rFonts w:hint="eastAsia" w:ascii="ＭＳ Ｐゴシック" w:hAnsi="ＭＳ Ｐゴシック" w:eastAsia="ＭＳ Ｐゴシック"/>
                <w:color w:val="000000"/>
                <w:kern w:val="0"/>
                <w:sz w:val="20"/>
              </w:rPr>
              <w:t>0.05mg/L</w:t>
            </w:r>
            <w:r>
              <w:rPr>
                <w:rFonts w:hint="eastAsia" w:ascii="ＭＳ Ｐゴシック" w:hAnsi="ＭＳ Ｐゴシック" w:eastAsia="ＭＳ Ｐゴシック"/>
                <w:color w:val="000000"/>
                <w:kern w:val="0"/>
                <w:sz w:val="20"/>
              </w:rPr>
              <w:t>以下</w:t>
            </w:r>
          </w:p>
        </w:tc>
        <w:tc>
          <w:tcPr>
            <w:tcW w:w="53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53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c>
          <w:tcPr>
            <w:tcW w:w="4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sz w:val="20"/>
              </w:rPr>
              <w:t>N.D.</w:t>
            </w:r>
          </w:p>
        </w:tc>
      </w:tr>
    </w:tbl>
    <w:p>
      <w:pPr>
        <w:pStyle w:val="0"/>
        <w:rPr>
          <w:rFonts w:hint="default" w:asciiTheme="majorEastAsia" w:hAnsiTheme="majorEastAsia" w:eastAsiaTheme="majorEastAsia"/>
          <w:sz w:val="18"/>
        </w:rPr>
      </w:pPr>
      <w:r>
        <w:rPr>
          <w:rFonts w:hint="default" w:ascii="HG丸ｺﾞｼｯｸM-PRO" w:hAnsi="HG丸ｺﾞｼｯｸM-PRO" w:eastAsia="HG丸ｺﾞｼｯｸM-PRO"/>
          <w:sz w:val="24"/>
        </w:rPr>
        <mc:AlternateContent>
          <mc:Choice Requires="wps">
            <w:drawing>
              <wp:anchor distT="0" distB="0" distL="114300" distR="114300" simplePos="0" relativeHeight="55" behindDoc="0" locked="0" layoutInCell="1" hidden="0" allowOverlap="1">
                <wp:simplePos x="0" y="0"/>
                <wp:positionH relativeFrom="column">
                  <wp:posOffset>3147695</wp:posOffset>
                </wp:positionH>
                <wp:positionV relativeFrom="paragraph">
                  <wp:posOffset>4481195</wp:posOffset>
                </wp:positionV>
                <wp:extent cx="2876550" cy="1807845"/>
                <wp:effectExtent l="0" t="0" r="635" b="635"/>
                <wp:wrapNone/>
                <wp:docPr id="1113" name="テキスト ボックス 2"/>
                <a:graphic xmlns:a="http://schemas.openxmlformats.org/drawingml/2006/main">
                  <a:graphicData uri="http://schemas.microsoft.com/office/word/2010/wordprocessingShape">
                    <wps:wsp>
                      <wps:cNvPr id="1113" name="テキスト ボックス 2"/>
                      <wps:cNvSpPr txBox="1">
                        <a:spLocks noChangeArrowheads="1"/>
                      </wps:cNvSpPr>
                      <wps:spPr>
                        <a:xfrm>
                          <a:off x="0" y="0"/>
                          <a:ext cx="2876550" cy="1807845"/>
                        </a:xfrm>
                        <a:prstGeom prst="rect">
                          <a:avLst/>
                        </a:prstGeom>
                        <a:noFill/>
                        <a:ln w="9525">
                          <a:noFill/>
                          <a:miter lim="800000"/>
                          <a:headEnd/>
                          <a:tailEnd/>
                        </a:ln>
                      </wps:spPr>
                      <wps:txbx>
                        <w:txbxContent>
                          <w:p>
                            <w:pPr>
                              <w:pStyle w:val="0"/>
                              <w:rPr>
                                <w:rFonts w:hint="default"/>
                                <w:sz w:val="18"/>
                              </w:rPr>
                            </w:pP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352.85pt;mso-position-vertical-relative:text;mso-position-horizontal-relative:text;v-text-anchor:top;position:absolute;height:142.35pt;mso-wrap-distance-top:0pt;width:226.5pt;mso-wrap-distance-left:9pt;margin-left:247.85pt;z-index:55;" o:spid="_x0000_s1113" o:allowincell="t" o:allowoverlap="t" filled="f" stroked="f" strokeweight="0.75pt" o:spt="202" type="#_x0000_t202">
                <v:fill/>
                <v:stroke miterlimit="8"/>
                <v:textbox style="layout-flow:horizontal;mso-fit-shape-to-text:t;">
                  <w:txbxContent>
                    <w:p>
                      <w:pPr>
                        <w:pStyle w:val="0"/>
                        <w:rPr>
                          <w:rFonts w:hint="default"/>
                          <w:sz w:val="18"/>
                        </w:rPr>
                      </w:pPr>
                    </w:p>
                  </w:txbxContent>
                </v:textbox>
                <v:imagedata o:title=""/>
                <w10:wrap type="none" anchorx="text" anchory="text"/>
              </v:shape>
            </w:pict>
          </mc:Fallback>
        </mc:AlternateContent>
      </w:r>
      <w:r>
        <w:rPr>
          <w:rFonts w:hint="eastAsia" w:asciiTheme="majorEastAsia" w:hAnsiTheme="majorEastAsia" w:eastAsiaTheme="majorEastAsia"/>
          <w:sz w:val="18"/>
        </w:rPr>
        <w:t>〔注〕</w:t>
      </w:r>
      <w:r>
        <w:rPr>
          <w:rFonts w:hint="eastAsia" w:asciiTheme="majorEastAsia" w:hAnsiTheme="majorEastAsia" w:eastAsiaTheme="majorEastAsia"/>
          <w:sz w:val="18"/>
        </w:rPr>
        <w:t>N.D.</w:t>
      </w:r>
      <w:r>
        <w:rPr>
          <w:rFonts w:hint="eastAsia" w:asciiTheme="majorEastAsia" w:hAnsiTheme="majorEastAsia" w:eastAsiaTheme="majorEastAsia"/>
          <w:sz w:val="18"/>
        </w:rPr>
        <w:t>は報告下限値未満であることを示す。</w:t>
      </w:r>
    </w:p>
    <w:p>
      <w:pPr>
        <w:pStyle w:val="0"/>
        <w:widowControl w:val="1"/>
        <w:jc w:val="left"/>
        <w:rPr>
          <w:rFonts w:hint="default" w:asciiTheme="majorEastAsia" w:hAnsiTheme="majorEastAsia" w:eastAsiaTheme="majorEastAsia"/>
          <w:sz w:val="18"/>
        </w:rPr>
      </w:pPr>
    </w:p>
    <w:p>
      <w:pPr>
        <w:pStyle w:val="0"/>
        <w:widowControl w:val="1"/>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※数値については全て「公共用水域及び地下水の水質測定結果（岡山県）」を参照とした。</w:t>
      </w:r>
      <w:r>
        <w:rPr>
          <w:rFonts w:hint="default" w:ascii="HG丸ｺﾞｼｯｸM-PRO" w:hAnsi="HG丸ｺﾞｼｯｸM-PRO" w:eastAsia="HG丸ｺﾞｼｯｸM-PRO"/>
          <w:sz w:val="22"/>
        </w:rPr>
        <w:br w:type="page"/>
      </w:r>
    </w:p>
    <w:p>
      <w:pPr>
        <w:pStyle w:val="0"/>
        <w:rPr>
          <w:rFonts w:hint="default" w:ascii="HG丸ｺﾞｼｯｸM-PRO" w:hAnsi="HG丸ｺﾞｼｯｸM-PRO" w:eastAsia="HG丸ｺﾞｼｯｸM-PRO"/>
          <w:sz w:val="24"/>
          <w:u w:val="single" w:color="auto"/>
        </w:rPr>
      </w:pPr>
      <w:r>
        <w:rPr>
          <w:rFonts w:hint="eastAsia" w:ascii="HG丸ｺﾞｼｯｸM-PRO" w:hAnsi="HG丸ｺﾞｼｯｸM-PRO" w:eastAsia="HG丸ｺﾞｼｯｸM-PRO"/>
          <w:sz w:val="24"/>
          <w:u w:val="single" w:color="auto"/>
        </w:rPr>
        <w:t>（５）ダイオキシン類</w:t>
      </w:r>
    </w:p>
    <w:p>
      <w:pPr>
        <w:pStyle w:val="0"/>
        <w:ind w:left="210" w:leftChars="100"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強い毒性を持つ物質で、一般に、ポリ塩化ジベンゾ－パラ－ジオキシン（</w:t>
      </w:r>
      <w:r>
        <w:rPr>
          <w:rFonts w:hint="eastAsia" w:ascii="HG丸ｺﾞｼｯｸM-PRO" w:hAnsi="HG丸ｺﾞｼｯｸM-PRO" w:eastAsia="HG丸ｺﾞｼｯｸM-PRO"/>
          <w:sz w:val="22"/>
        </w:rPr>
        <w:t>PCDD</w:t>
      </w:r>
      <w:r>
        <w:rPr>
          <w:rFonts w:hint="eastAsia" w:ascii="HG丸ｺﾞｼｯｸM-PRO" w:hAnsi="HG丸ｺﾞｼｯｸM-PRO" w:eastAsia="HG丸ｺﾞｼｯｸM-PRO"/>
          <w:sz w:val="22"/>
        </w:rPr>
        <w:t>）の略称であるが、よく似た毒性を有する物質をまとめて表現することが多い。主な発生源は、ごみの焼却の他、金属精錬の燃焼工程や紙などの塩素漂白工程など、様々である。</w:t>
      </w:r>
    </w:p>
    <w:p>
      <w:pPr>
        <w:pStyle w:val="0"/>
        <w:rPr>
          <w:rFonts w:hint="default" w:ascii="HG丸ｺﾞｼｯｸM-PRO" w:hAnsi="HG丸ｺﾞｼｯｸM-PRO" w:eastAsia="HG丸ｺﾞｼｯｸM-PRO"/>
          <w:sz w:val="24"/>
        </w:rPr>
      </w:pPr>
    </w:p>
    <w:p>
      <w:pPr>
        <w:pStyle w:val="0"/>
        <w:ind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◆ダイオキシン類に係る環境基準</w:t>
      </w:r>
    </w:p>
    <w:tbl>
      <w:tblPr>
        <w:tblStyle w:val="11"/>
        <w:tblW w:w="9072" w:type="dxa"/>
        <w:tblInd w:w="9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99" w:type="dxa"/>
          <w:right w:w="99" w:type="dxa"/>
        </w:tblCellMar>
        <w:tblLook w:firstRow="0" w:lastRow="0" w:firstColumn="0" w:lastColumn="0" w:noHBand="0" w:noVBand="0" w:val="0000"/>
      </w:tblPr>
      <w:tblGrid>
        <w:gridCol w:w="1642"/>
        <w:gridCol w:w="2476"/>
        <w:gridCol w:w="2477"/>
        <w:gridCol w:w="2477"/>
      </w:tblGrid>
      <w:tr>
        <w:trPr>
          <w:trHeight w:val="195" w:hRule="atLeast"/>
        </w:trPr>
        <w:tc>
          <w:tcPr>
            <w:tcW w:w="1642" w:type="dxa"/>
            <w:tcBorders>
              <w:top w:val="none" w:color="auto" w:sz="0" w:space="0"/>
              <w:left w:val="none" w:color="auto" w:sz="0" w:space="0"/>
              <w:bottom w:val="single" w:color="auto" w:sz="6" w:space="0"/>
              <w:right w:val="none" w:color="auto" w:sz="0" w:space="0"/>
              <w:tl2br w:val="none" w:color="auto" w:sz="0" w:space="0"/>
              <w:tr2bl w:val="none" w:color="auto" w:sz="0" w:space="0"/>
            </w:tcBorders>
            <w:shd w:val="clear" w:color="auto" w:themeFill="background1" w:themeFillTint="FF" w:themeFillShade="BF"/>
            <w:vAlign w:val="center"/>
          </w:tcPr>
          <w:p>
            <w:pPr>
              <w:pStyle w:val="0"/>
              <w:autoSpaceD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項　　目</w:t>
            </w:r>
          </w:p>
        </w:tc>
        <w:tc>
          <w:tcPr>
            <w:tcW w:w="2476" w:type="dxa"/>
            <w:shd w:val="clear" w:color="auto" w:themeFill="background1" w:themeFillTint="FF" w:themeFillShade="BF"/>
            <w:vAlign w:val="center"/>
          </w:tcPr>
          <w:p>
            <w:pPr>
              <w:pStyle w:val="0"/>
              <w:autoSpaceD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大　　　気</w:t>
            </w:r>
          </w:p>
        </w:tc>
        <w:tc>
          <w:tcPr>
            <w:tcW w:w="2477" w:type="dxa"/>
            <w:shd w:val="clear" w:color="auto" w:themeFill="background1" w:themeFillTint="FF" w:themeFillShade="BF"/>
            <w:vAlign w:val="top"/>
          </w:tcPr>
          <w:p>
            <w:pPr>
              <w:pStyle w:val="0"/>
              <w:autoSpaceD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水質及び水底の底質</w:t>
            </w:r>
          </w:p>
        </w:tc>
        <w:tc>
          <w:tcPr>
            <w:tcW w:w="2477" w:type="dxa"/>
            <w:shd w:val="clear" w:color="auto" w:themeFill="background1" w:themeFillTint="FF" w:themeFillShade="BF"/>
            <w:vAlign w:val="center"/>
          </w:tcPr>
          <w:p>
            <w:pPr>
              <w:pStyle w:val="0"/>
              <w:autoSpaceD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土　　　壌</w:t>
            </w:r>
          </w:p>
        </w:tc>
      </w:tr>
      <w:tr>
        <w:trPr>
          <w:trHeight w:val="150" w:hRule="atLeast"/>
        </w:trPr>
        <w:tc>
          <w:tcPr>
            <w:tcW w:w="1642" w:type="dxa"/>
            <w:shd w:val="clear" w:color="auto" w:themeFill="background1" w:themeFillTint="FF" w:themeFillShade="BF"/>
            <w:vAlign w:val="center"/>
          </w:tcPr>
          <w:p>
            <w:pPr>
              <w:pStyle w:val="0"/>
              <w:autoSpaceD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基準値</w:t>
            </w:r>
          </w:p>
        </w:tc>
        <w:tc>
          <w:tcPr>
            <w:tcW w:w="2476" w:type="dxa"/>
            <w:vAlign w:val="center"/>
          </w:tcPr>
          <w:p>
            <w:pPr>
              <w:pStyle w:val="0"/>
              <w:autoSpaceD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0.6pg-TEQ/</w:t>
            </w:r>
            <w:r>
              <w:rPr>
                <w:rFonts w:hint="eastAsia" w:asciiTheme="majorEastAsia" w:hAnsiTheme="majorEastAsia" w:eastAsiaTheme="majorEastAsia"/>
                <w:sz w:val="20"/>
              </w:rPr>
              <w:t>㎥以下</w:t>
            </w:r>
          </w:p>
        </w:tc>
        <w:tc>
          <w:tcPr>
            <w:tcW w:w="2477" w:type="dxa"/>
            <w:vAlign w:val="top"/>
          </w:tcPr>
          <w:p>
            <w:pPr>
              <w:pStyle w:val="0"/>
              <w:autoSpaceD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水質：１</w:t>
            </w:r>
            <w:r>
              <w:rPr>
                <w:rFonts w:hint="eastAsia" w:asciiTheme="majorEastAsia" w:hAnsiTheme="majorEastAsia" w:eastAsiaTheme="majorEastAsia"/>
                <w:sz w:val="20"/>
              </w:rPr>
              <w:t>pg-TEQ/</w:t>
            </w:r>
            <w:r>
              <w:rPr>
                <w:rFonts w:hint="eastAsia" w:asciiTheme="majorEastAsia" w:hAnsiTheme="majorEastAsia" w:eastAsiaTheme="majorEastAsia"/>
                <w:sz w:val="20"/>
              </w:rPr>
              <w:t>ℓ以下</w:t>
            </w:r>
          </w:p>
          <w:p>
            <w:pPr>
              <w:pStyle w:val="0"/>
              <w:autoSpaceD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底質：</w:t>
            </w:r>
            <w:r>
              <w:rPr>
                <w:rFonts w:hint="eastAsia" w:asciiTheme="majorEastAsia" w:hAnsiTheme="majorEastAsia" w:eastAsiaTheme="majorEastAsia"/>
                <w:sz w:val="20"/>
              </w:rPr>
              <w:t>150pg-TEQ/g</w:t>
            </w:r>
            <w:r>
              <w:rPr>
                <w:rFonts w:hint="eastAsia" w:asciiTheme="majorEastAsia" w:hAnsiTheme="majorEastAsia" w:eastAsiaTheme="majorEastAsia"/>
                <w:sz w:val="20"/>
              </w:rPr>
              <w:t>以下</w:t>
            </w:r>
          </w:p>
        </w:tc>
        <w:tc>
          <w:tcPr>
            <w:tcW w:w="2477" w:type="dxa"/>
            <w:vAlign w:val="center"/>
          </w:tcPr>
          <w:p>
            <w:pPr>
              <w:pStyle w:val="0"/>
              <w:autoSpaceDE w:val="0"/>
              <w:spacing w:line="0" w:lineRule="atLeast"/>
              <w:jc w:val="center"/>
              <w:rPr>
                <w:rFonts w:hint="default" w:asciiTheme="majorEastAsia" w:hAnsiTheme="majorEastAsia" w:eastAsiaTheme="majorEastAsia"/>
                <w:sz w:val="20"/>
              </w:rPr>
            </w:pPr>
            <w:r>
              <w:rPr>
                <w:rFonts w:hint="eastAsia" w:asciiTheme="majorEastAsia" w:hAnsiTheme="majorEastAsia" w:eastAsiaTheme="majorEastAsia"/>
                <w:sz w:val="20"/>
              </w:rPr>
              <w:t>1,000pg-TEQ/g</w:t>
            </w:r>
            <w:r>
              <w:rPr>
                <w:rFonts w:hint="eastAsia" w:asciiTheme="majorEastAsia" w:hAnsiTheme="majorEastAsia" w:eastAsiaTheme="majorEastAsia"/>
                <w:sz w:val="20"/>
              </w:rPr>
              <w:t>以下</w:t>
            </w:r>
          </w:p>
        </w:tc>
      </w:tr>
      <w:tr>
        <w:trPr>
          <w:trHeight w:val="480" w:hRule="atLeast"/>
        </w:trPr>
        <w:tc>
          <w:tcPr>
            <w:tcW w:w="9072" w:type="dxa"/>
            <w:gridSpan w:val="4"/>
            <w:vAlign w:val="top"/>
          </w:tcPr>
          <w:p>
            <w:pPr>
              <w:pStyle w:val="0"/>
              <w:autoSpaceDE w:val="0"/>
              <w:spacing w:line="0" w:lineRule="atLeast"/>
              <w:jc w:val="left"/>
              <w:rPr>
                <w:rFonts w:hint="default" w:asciiTheme="majorEastAsia" w:hAnsiTheme="majorEastAsia" w:eastAsiaTheme="majorEastAsia"/>
                <w:sz w:val="20"/>
              </w:rPr>
            </w:pPr>
            <w:r>
              <w:rPr>
                <w:rFonts w:hint="eastAsia" w:asciiTheme="majorEastAsia" w:hAnsiTheme="majorEastAsia" w:eastAsiaTheme="majorEastAsia"/>
                <w:sz w:val="20"/>
              </w:rPr>
              <w:t>備考　１　基準値は、</w:t>
            </w:r>
            <w:r>
              <w:rPr>
                <w:rFonts w:hint="eastAsia" w:asciiTheme="majorEastAsia" w:hAnsiTheme="majorEastAsia" w:eastAsiaTheme="majorEastAsia"/>
                <w:sz w:val="20"/>
              </w:rPr>
              <w:t>2,3,7,8-</w:t>
            </w:r>
            <w:r>
              <w:rPr>
                <w:rFonts w:hint="eastAsia" w:asciiTheme="majorEastAsia" w:hAnsiTheme="majorEastAsia" w:eastAsiaTheme="majorEastAsia"/>
                <w:sz w:val="20"/>
              </w:rPr>
              <w:t>四塩化ジベンゾ</w:t>
            </w:r>
            <w:r>
              <w:rPr>
                <w:rFonts w:hint="eastAsia" w:asciiTheme="majorEastAsia" w:hAnsiTheme="majorEastAsia" w:eastAsiaTheme="majorEastAsia"/>
                <w:sz w:val="20"/>
              </w:rPr>
              <w:t>-</w:t>
            </w:r>
            <w:r>
              <w:rPr>
                <w:rFonts w:hint="eastAsia" w:asciiTheme="majorEastAsia" w:hAnsiTheme="majorEastAsia" w:eastAsiaTheme="majorEastAsia"/>
                <w:sz w:val="20"/>
              </w:rPr>
              <w:t>パラ</w:t>
            </w:r>
            <w:r>
              <w:rPr>
                <w:rFonts w:hint="eastAsia" w:asciiTheme="majorEastAsia" w:hAnsiTheme="majorEastAsia" w:eastAsiaTheme="majorEastAsia"/>
                <w:sz w:val="20"/>
              </w:rPr>
              <w:t>-</w:t>
            </w:r>
            <w:r>
              <w:rPr>
                <w:rFonts w:hint="eastAsia" w:asciiTheme="majorEastAsia" w:hAnsiTheme="majorEastAsia" w:eastAsiaTheme="majorEastAsia"/>
                <w:sz w:val="20"/>
              </w:rPr>
              <w:t>ジオキシンの毒性に換算した値とする。</w:t>
            </w:r>
          </w:p>
          <w:p>
            <w:pPr>
              <w:pStyle w:val="0"/>
              <w:autoSpaceDE w:val="0"/>
              <w:spacing w:line="0" w:lineRule="atLeast"/>
              <w:ind w:firstLine="600" w:firstLineChars="300"/>
              <w:jc w:val="left"/>
              <w:rPr>
                <w:rFonts w:hint="default" w:asciiTheme="majorEastAsia" w:hAnsiTheme="majorEastAsia" w:eastAsiaTheme="majorEastAsia"/>
                <w:sz w:val="20"/>
              </w:rPr>
            </w:pPr>
            <w:r>
              <w:rPr>
                <w:rFonts w:hint="eastAsia" w:asciiTheme="majorEastAsia" w:hAnsiTheme="majorEastAsia" w:eastAsiaTheme="majorEastAsia"/>
                <w:sz w:val="20"/>
              </w:rPr>
              <w:t>２　大気及び水質の基準は、年間平均値とする。</w:t>
            </w:r>
          </w:p>
          <w:p>
            <w:pPr>
              <w:pStyle w:val="0"/>
              <w:autoSpaceDE w:val="0"/>
              <w:spacing w:line="0" w:lineRule="atLeast"/>
              <w:ind w:firstLine="600" w:firstLineChars="300"/>
              <w:jc w:val="left"/>
              <w:rPr>
                <w:rFonts w:hint="default" w:asciiTheme="majorEastAsia" w:hAnsiTheme="majorEastAsia" w:eastAsiaTheme="majorEastAsia"/>
                <w:sz w:val="20"/>
              </w:rPr>
            </w:pPr>
            <w:r>
              <w:rPr>
                <w:rFonts w:hint="eastAsia" w:asciiTheme="majorEastAsia" w:hAnsiTheme="majorEastAsia" w:eastAsiaTheme="majorEastAsia"/>
                <w:sz w:val="20"/>
              </w:rPr>
              <w:t>３　土壌にあっては、環境基準が達成されている場合であって、土壌中のダイオキシン類</w:t>
            </w:r>
          </w:p>
          <w:p>
            <w:pPr>
              <w:pStyle w:val="0"/>
              <w:autoSpaceDE w:val="0"/>
              <w:spacing w:line="0" w:lineRule="atLeast"/>
              <w:ind w:firstLine="1000" w:firstLineChars="500"/>
              <w:jc w:val="left"/>
              <w:rPr>
                <w:rFonts w:hint="default" w:asciiTheme="majorEastAsia" w:hAnsiTheme="majorEastAsia" w:eastAsiaTheme="majorEastAsia"/>
                <w:sz w:val="20"/>
              </w:rPr>
            </w:pPr>
            <w:r>
              <w:rPr>
                <w:rFonts w:hint="eastAsia" w:asciiTheme="majorEastAsia" w:hAnsiTheme="majorEastAsia" w:eastAsiaTheme="majorEastAsia"/>
                <w:sz w:val="20"/>
              </w:rPr>
              <w:t>の量が</w:t>
            </w:r>
            <w:r>
              <w:rPr>
                <w:rFonts w:hint="eastAsia" w:asciiTheme="majorEastAsia" w:hAnsiTheme="majorEastAsia" w:eastAsiaTheme="majorEastAsia"/>
                <w:sz w:val="20"/>
              </w:rPr>
              <w:t>250pg-TEQ/g</w:t>
            </w:r>
            <w:r>
              <w:rPr>
                <w:rFonts w:hint="eastAsia" w:asciiTheme="majorEastAsia" w:hAnsiTheme="majorEastAsia" w:eastAsiaTheme="majorEastAsia"/>
                <w:sz w:val="20"/>
              </w:rPr>
              <w:t>以上の場合には、必要な調査を実施することとする。</w:t>
            </w:r>
          </w:p>
        </w:tc>
      </w:tr>
    </w:tbl>
    <w:p>
      <w:pPr>
        <w:pStyle w:val="0"/>
        <w:ind w:firstLine="240" w:firstLineChars="100"/>
        <w:jc w:val="center"/>
        <w:rPr>
          <w:rFonts w:hint="default" w:ascii="HG丸ｺﾞｼｯｸM-PRO" w:hAnsi="HG丸ｺﾞｼｯｸM-PRO" w:eastAsia="HG丸ｺﾞｼｯｸM-PRO"/>
          <w:sz w:val="24"/>
        </w:rPr>
      </w:pPr>
    </w:p>
    <w:p>
      <w:pPr>
        <w:pStyle w:val="0"/>
        <w:ind w:firstLine="210" w:firstLineChars="100"/>
        <w:jc w:val="center"/>
        <w:rPr>
          <w:rFonts w:hint="default" w:ascii="HG丸ｺﾞｼｯｸM-PRO" w:hAnsi="HG丸ｺﾞｼｯｸM-PRO" w:eastAsia="HG丸ｺﾞｼｯｸM-PRO"/>
          <w:sz w:val="24"/>
        </w:rPr>
      </w:pPr>
      <w:r>
        <w:rPr>
          <w:rFonts w:hint="eastAsia"/>
        </w:rPr>
        <w:drawing>
          <wp:inline distT="0" distB="0" distL="203200" distR="203200">
            <wp:extent cx="5163185" cy="2714625"/>
            <wp:effectExtent l="0" t="0" r="0" b="0"/>
            <wp:docPr id="1114" name="オブジェクト 0"/>
            <a:graphic xmlns:a="http://schemas.openxmlformats.org/drawingml/2006/main">
              <a:graphicData uri="http://schemas.openxmlformats.org/drawingml/2006/picture">
                <pic:pic xmlns:pic="http://schemas.openxmlformats.org/drawingml/2006/picture">
                  <pic:nvPicPr>
                    <pic:cNvPr id="1114" name="オブジェクト 0"/>
                    <pic:cNvPicPr>
                      <a:picLocks noChangeAspect="1"/>
                    </pic:cNvPicPr>
                  </pic:nvPicPr>
                  <pic:blipFill>
                    <a:blip r:embed="rId53"/>
                    <a:stretch>
                      <a:fillRect/>
                    </a:stretch>
                  </pic:blipFill>
                  <pic:spPr>
                    <a:xfrm>
                      <a:off x="0" y="0"/>
                      <a:ext cx="5163185" cy="2714625"/>
                    </a:xfrm>
                    <a:prstGeom prst="rect">
                      <a:avLst/>
                    </a:prstGeom>
                  </pic:spPr>
                </pic:pic>
              </a:graphicData>
            </a:graphic>
          </wp:inline>
        </w:drawing>
      </w:r>
    </w:p>
    <w:p>
      <w:pPr>
        <w:pStyle w:val="0"/>
        <w:ind w:firstLine="210" w:firstLineChars="100"/>
        <w:jc w:val="center"/>
        <w:rPr>
          <w:rFonts w:hint="default" w:ascii="HG丸ｺﾞｼｯｸM-PRO" w:hAnsi="HG丸ｺﾞｼｯｸM-PRO" w:eastAsia="HG丸ｺﾞｼｯｸM-PRO"/>
          <w:sz w:val="24"/>
        </w:rPr>
      </w:pPr>
    </w:p>
    <w:p>
      <w:pPr>
        <w:pStyle w:val="0"/>
        <w:jc w:val="center"/>
        <w:rPr>
          <w:rFonts w:hint="default" w:ascii="HG丸ｺﾞｼｯｸM-PRO" w:hAnsi="HG丸ｺﾞｼｯｸM-PRO" w:eastAsia="HG丸ｺﾞｼｯｸM-PRO"/>
          <w:sz w:val="24"/>
        </w:rPr>
      </w:pPr>
      <w:r>
        <w:rPr>
          <w:rFonts w:hint="eastAsia"/>
        </w:rPr>
        <w:drawing>
          <wp:inline distT="0" distB="0" distL="203200" distR="203200">
            <wp:extent cx="5106035" cy="2971800"/>
            <wp:effectExtent l="0" t="0" r="0" b="0"/>
            <wp:docPr id="1115" name="オブジェクト 0"/>
            <a:graphic xmlns:a="http://schemas.openxmlformats.org/drawingml/2006/main">
              <a:graphicData uri="http://schemas.openxmlformats.org/drawingml/2006/picture">
                <pic:pic xmlns:pic="http://schemas.openxmlformats.org/drawingml/2006/picture">
                  <pic:nvPicPr>
                    <pic:cNvPr id="1115" name="オブジェクト 0"/>
                    <pic:cNvPicPr>
                      <a:picLocks noChangeAspect="1"/>
                    </pic:cNvPicPr>
                  </pic:nvPicPr>
                  <pic:blipFill>
                    <a:blip r:embed="rId54"/>
                    <a:stretch>
                      <a:fillRect/>
                    </a:stretch>
                  </pic:blipFill>
                  <pic:spPr>
                    <a:xfrm>
                      <a:off x="0" y="0"/>
                      <a:ext cx="5106035" cy="2971800"/>
                    </a:xfrm>
                    <a:prstGeom prst="rect"/>
                  </pic:spPr>
                </pic:pic>
              </a:graphicData>
            </a:graphic>
          </wp:inline>
        </w:drawing>
      </w:r>
    </w:p>
    <w:p>
      <w:pPr>
        <w:pStyle w:val="0"/>
        <w:jc w:val="center"/>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mc:AlternateContent>
          <mc:Choice Requires="wps">
            <w:drawing>
              <wp:anchor distT="0" distB="0" distL="114300" distR="114300" simplePos="0" relativeHeight="56" behindDoc="0" locked="0" layoutInCell="1" hidden="0" allowOverlap="1">
                <wp:simplePos x="0" y="0"/>
                <wp:positionH relativeFrom="column">
                  <wp:posOffset>4328795</wp:posOffset>
                </wp:positionH>
                <wp:positionV relativeFrom="paragraph">
                  <wp:posOffset>2451735</wp:posOffset>
                </wp:positionV>
                <wp:extent cx="2543175" cy="1807845"/>
                <wp:effectExtent l="0" t="0" r="635" b="635"/>
                <wp:wrapNone/>
                <wp:docPr id="1116" name="テキスト ボックス 2"/>
                <a:graphic xmlns:a="http://schemas.openxmlformats.org/drawingml/2006/main">
                  <a:graphicData uri="http://schemas.microsoft.com/office/word/2010/wordprocessingShape">
                    <wps:wsp>
                      <wps:cNvPr id="1116" name="テキスト ボックス 2"/>
                      <wps:cNvSpPr txBox="1">
                        <a:spLocks noChangeArrowheads="1"/>
                      </wps:cNvSpPr>
                      <wps:spPr>
                        <a:xfrm>
                          <a:off x="0" y="0"/>
                          <a:ext cx="2543175" cy="1807845"/>
                        </a:xfrm>
                        <a:prstGeom prst="rect">
                          <a:avLst/>
                        </a:prstGeom>
                        <a:noFill/>
                        <a:ln w="9525">
                          <a:noFill/>
                          <a:miter lim="800000"/>
                          <a:headEnd/>
                          <a:tailEnd/>
                        </a:ln>
                      </wps:spPr>
                      <wps:txbx>
                        <w:txbxContent>
                          <w:p>
                            <w:pPr>
                              <w:pStyle w:val="0"/>
                              <w:rPr>
                                <w:rFonts w:hint="default"/>
                                <w:sz w:val="18"/>
                              </w:rPr>
                            </w:pP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93.05pt;mso-position-vertical-relative:text;mso-position-horizontal-relative:text;v-text-anchor:top;position:absolute;height:142.35pt;mso-wrap-distance-top:0pt;width:200.25pt;mso-wrap-distance-left:9pt;margin-left:340.85pt;z-index:56;" o:spid="_x0000_s1116" o:allowincell="t" o:allowoverlap="t" filled="f" stroked="f" strokeweight="0.75pt" o:spt="202" type="#_x0000_t202">
                <v:fill/>
                <v:stroke miterlimit="8"/>
                <v:textbox style="layout-flow:horizontal;mso-fit-shape-to-text:t;">
                  <w:txbxContent>
                    <w:p>
                      <w:pPr>
                        <w:pStyle w:val="0"/>
                        <w:rPr>
                          <w:rFonts w:hint="default"/>
                          <w:sz w:val="18"/>
                        </w:rPr>
                      </w:pPr>
                    </w:p>
                  </w:txbxContent>
                </v:textbox>
                <v:imagedata o:title=""/>
                <w10:wrap type="none" anchorx="text" anchory="text"/>
              </v:shape>
            </w:pict>
          </mc:Fallback>
        </mc:AlternateContent>
      </w: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sz w:val="22"/>
        </w:rPr>
        <w:t>数値については全て「ダイオキシン類環境調査結果（岡山県）」を参照とした。</w:t>
      </w:r>
      <w:r>
        <w:rPr>
          <w:rFonts w:hint="default" w:ascii="HG丸ｺﾞｼｯｸM-PRO" w:hAnsi="HG丸ｺﾞｼｯｸM-PRO" w:eastAsia="HG丸ｺﾞｼｯｸM-PRO"/>
          <w:sz w:val="24"/>
        </w:rPr>
        <w:br w:type="page"/>
      </w:r>
    </w:p>
    <w:p>
      <w:pPr>
        <w:pStyle w:val="0"/>
        <w:rPr>
          <w:rFonts w:hint="default" w:ascii="HG丸ｺﾞｼｯｸM-PRO" w:hAnsi="HG丸ｺﾞｼｯｸM-PRO" w:eastAsia="HG丸ｺﾞｼｯｸM-PRO"/>
          <w:sz w:val="24"/>
          <w:u w:val="single" w:color="auto"/>
        </w:rPr>
      </w:pPr>
      <w:r>
        <w:rPr>
          <w:rFonts w:hint="eastAsia" w:ascii="HG丸ｺﾞｼｯｸM-PRO" w:hAnsi="HG丸ｺﾞｼｯｸM-PRO" w:eastAsia="HG丸ｺﾞｼｯｸM-PRO"/>
          <w:sz w:val="24"/>
          <w:u w:val="single" w:color="auto"/>
        </w:rPr>
        <w:t>（６）ごみ処理</w:t>
      </w:r>
    </w:p>
    <w:p>
      <w:pPr>
        <w:pStyle w:val="0"/>
        <w:ind w:firstLine="220" w:firstLine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数値について、</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次計画では「一般廃棄物処理実態調査（環境省）」を参照していたが、「津山市一般廃棄物処理基本計画」の策定に伴い、これに基づいたデータを参照とした。</w:t>
      </w:r>
    </w:p>
    <w:p>
      <w:pPr>
        <w:pStyle w:val="0"/>
        <w:ind w:firstLine="220" w:firstLineChars="100"/>
        <w:rPr>
          <w:rFonts w:hint="default" w:ascii="HG丸ｺﾞｼｯｸM-PRO" w:hAnsi="HG丸ｺﾞｼｯｸM-PRO" w:eastAsia="HG丸ｺﾞｼｯｸM-PRO"/>
          <w:sz w:val="22"/>
        </w:rPr>
      </w:pPr>
    </w:p>
    <w:tbl>
      <w:tblPr>
        <w:tblStyle w:val="11"/>
        <w:tblW w:w="9268" w:type="dxa"/>
        <w:tblInd w:w="0" w:type="dxa"/>
        <w:tblLayout w:type="fixed"/>
        <w:tblCellMar>
          <w:left w:w="99" w:type="dxa"/>
          <w:right w:w="99" w:type="dxa"/>
        </w:tblCellMar>
        <w:tblLook w:firstRow="1" w:lastRow="0" w:firstColumn="1" w:lastColumn="0" w:noHBand="0" w:noVBand="1" w:val="04A0"/>
      </w:tblPr>
      <w:tblGrid>
        <w:gridCol w:w="1351"/>
        <w:gridCol w:w="1700"/>
        <w:gridCol w:w="1243"/>
        <w:gridCol w:w="1243"/>
        <w:gridCol w:w="1244"/>
        <w:gridCol w:w="1243"/>
        <w:gridCol w:w="1244"/>
      </w:tblGrid>
      <w:tr>
        <w:trPr>
          <w:trHeight w:val="270" w:hRule="atLeast"/>
        </w:trPr>
        <w:tc>
          <w:tcPr>
            <w:tcW w:w="313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C4D79B"/>
            <w:vAlign w:val="center"/>
          </w:tcPr>
          <w:p>
            <w:pPr>
              <w:pStyle w:val="0"/>
              <w:widowControl w:val="1"/>
              <w:jc w:val="center"/>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区分</w:t>
            </w:r>
          </w:p>
        </w:tc>
        <w:tc>
          <w:tcPr>
            <w:tcW w:w="1275"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C4D79B"/>
            <w:vAlign w:val="center"/>
          </w:tcPr>
          <w:p>
            <w:pPr>
              <w:pStyle w:val="0"/>
              <w:shd w:val="clear" w:color="auto" w:fill="C4D79B"/>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H27</w:t>
            </w:r>
            <w:r>
              <w:rPr>
                <w:rFonts w:hint="default" w:ascii="ＭＳ Ｐゴシック" w:hAnsi="ＭＳ Ｐゴシック" w:eastAsia="ＭＳ Ｐゴシック"/>
                <w:b w:val="0"/>
                <w:i w:val="0"/>
                <w:smallCaps w:val="0"/>
                <w:sz w:val="22"/>
              </w:rPr>
              <w:t>年度</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C4D79B"/>
            <w:vAlign w:val="center"/>
          </w:tcPr>
          <w:p>
            <w:pPr>
              <w:pStyle w:val="0"/>
              <w:shd w:val="clear" w:color="auto" w:fill="C4D79B"/>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H28</w:t>
            </w:r>
            <w:r>
              <w:rPr>
                <w:rFonts w:hint="default" w:ascii="ＭＳ Ｐゴシック" w:hAnsi="ＭＳ Ｐゴシック" w:eastAsia="ＭＳ Ｐゴシック"/>
                <w:b w:val="0"/>
                <w:i w:val="0"/>
                <w:smallCaps w:val="0"/>
                <w:sz w:val="22"/>
              </w:rPr>
              <w:t>年度</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C4D79B"/>
            <w:vAlign w:val="center"/>
          </w:tcPr>
          <w:p>
            <w:pPr>
              <w:pStyle w:val="0"/>
              <w:shd w:val="clear" w:color="auto" w:fill="C4D79B"/>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H29</w:t>
            </w:r>
            <w:r>
              <w:rPr>
                <w:rFonts w:hint="default" w:ascii="ＭＳ Ｐゴシック" w:hAnsi="ＭＳ Ｐゴシック" w:eastAsia="ＭＳ Ｐゴシック"/>
                <w:b w:val="0"/>
                <w:i w:val="0"/>
                <w:smallCaps w:val="0"/>
                <w:sz w:val="22"/>
              </w:rPr>
              <w:t>年度</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C4D79B"/>
            <w:vAlign w:val="center"/>
          </w:tcPr>
          <w:p>
            <w:pPr>
              <w:pStyle w:val="0"/>
              <w:shd w:val="clear" w:color="auto" w:fill="C4D79B"/>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H30</w:t>
            </w:r>
            <w:r>
              <w:rPr>
                <w:rFonts w:hint="default" w:ascii="ＭＳ Ｐゴシック" w:hAnsi="ＭＳ Ｐゴシック" w:eastAsia="ＭＳ Ｐゴシック"/>
                <w:b w:val="0"/>
                <w:i w:val="0"/>
                <w:smallCaps w:val="0"/>
                <w:sz w:val="22"/>
              </w:rPr>
              <w:t>年度</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C4D79B"/>
            <w:vAlign w:val="center"/>
          </w:tcPr>
          <w:p>
            <w:pPr>
              <w:pStyle w:val="0"/>
              <w:shd w:val="clear" w:color="auto" w:fill="C4D79B"/>
              <w:jc w:val="center"/>
              <w:rPr>
                <w:rFonts w:hint="default" w:ascii="ＭＳ Ｐゴシック" w:hAnsi="ＭＳ Ｐゴシック" w:eastAsia="ＭＳ Ｐゴシック"/>
                <w:b w:val="0"/>
                <w:i w:val="0"/>
                <w:smallCaps w:val="0"/>
                <w:sz w:val="22"/>
              </w:rPr>
            </w:pPr>
            <w:r>
              <w:rPr>
                <w:rFonts w:hint="eastAsia" w:ascii="ＭＳ Ｐゴシック" w:hAnsi="ＭＳ Ｐゴシック" w:eastAsia="ＭＳ Ｐゴシック"/>
                <w:b w:val="0"/>
                <w:i w:val="0"/>
                <w:smallCaps w:val="0"/>
                <w:sz w:val="22"/>
              </w:rPr>
              <w:t>R1</w:t>
            </w:r>
            <w:r>
              <w:rPr>
                <w:rFonts w:hint="default" w:ascii="ＭＳ Ｐゴシック" w:hAnsi="ＭＳ Ｐゴシック" w:eastAsia="ＭＳ Ｐゴシック"/>
                <w:b w:val="0"/>
                <w:i w:val="0"/>
                <w:smallCaps w:val="0"/>
                <w:sz w:val="22"/>
              </w:rPr>
              <w:t>年度</w:t>
            </w:r>
          </w:p>
        </w:tc>
      </w:tr>
      <w:tr>
        <w:trPr>
          <w:trHeight w:val="270" w:hRule="atLeast"/>
        </w:trPr>
        <w:tc>
          <w:tcPr>
            <w:tcW w:w="313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計画収集人口（人）</w:t>
            </w:r>
          </w:p>
        </w:tc>
        <w:tc>
          <w:tcPr>
            <w:tcW w:w="12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104,056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103,117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102,348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101,604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100,714 </w:t>
            </w:r>
          </w:p>
        </w:tc>
      </w:tr>
      <w:tr>
        <w:trPr>
          <w:trHeight w:val="270" w:hRule="atLeast"/>
        </w:trPr>
        <w:tc>
          <w:tcPr>
            <w:tcW w:w="1387"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000000" w:fill="EBF1DE"/>
            <w:vAlign w:val="center"/>
          </w:tcPr>
          <w:p>
            <w:pPr>
              <w:pStyle w:val="0"/>
              <w:widowControl w:val="1"/>
              <w:jc w:val="center"/>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ごみ量（ｔ）</w:t>
            </w:r>
          </w:p>
        </w:tc>
        <w:tc>
          <w:tcPr>
            <w:tcW w:w="1747"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widowControl w:val="1"/>
              <w:jc w:val="lef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収集可燃ごみ量</w:t>
            </w:r>
          </w:p>
        </w:tc>
        <w:tc>
          <w:tcPr>
            <w:tcW w:w="1275"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13,384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13,169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13,393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13,295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13,632 </w:t>
            </w:r>
          </w:p>
        </w:tc>
      </w:tr>
      <w:tr>
        <w:trPr>
          <w:trHeight w:val="270" w:hRule="atLeast"/>
        </w:trPr>
        <w:tc>
          <w:tcPr>
            <w:tcW w:w="1387"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Ｐゴシック" w:hAnsi="ＭＳ Ｐゴシック" w:eastAsia="ＭＳ Ｐゴシック"/>
                <w:color w:val="000000"/>
                <w:kern w:val="0"/>
              </w:rPr>
            </w:pPr>
          </w:p>
        </w:tc>
        <w:tc>
          <w:tcPr>
            <w:tcW w:w="1747"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widowControl w:val="1"/>
              <w:jc w:val="lef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収集不燃ごみ量</w:t>
            </w:r>
          </w:p>
        </w:tc>
        <w:tc>
          <w:tcPr>
            <w:tcW w:w="1275"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1,333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683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600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538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50</w:t>
            </w:r>
            <w:r>
              <w:rPr>
                <w:rFonts w:hint="eastAsia" w:ascii="ＭＳ Ｐゴシック" w:hAnsi="ＭＳ Ｐゴシック" w:eastAsia="ＭＳ Ｐゴシック"/>
                <w:b w:val="0"/>
                <w:i w:val="0"/>
                <w:smallCaps w:val="0"/>
                <w:sz w:val="22"/>
              </w:rPr>
              <w:t>5</w:t>
            </w:r>
            <w:r>
              <w:rPr>
                <w:rFonts w:hint="default" w:ascii="ＭＳ Ｐゴシック" w:hAnsi="ＭＳ Ｐゴシック" w:eastAsia="ＭＳ Ｐゴシック"/>
                <w:b w:val="0"/>
                <w:i w:val="0"/>
                <w:smallCaps w:val="0"/>
                <w:sz w:val="22"/>
              </w:rPr>
              <w:t xml:space="preserve"> </w:t>
            </w:r>
          </w:p>
        </w:tc>
      </w:tr>
      <w:tr>
        <w:trPr>
          <w:trHeight w:val="270" w:hRule="atLeast"/>
        </w:trPr>
        <w:tc>
          <w:tcPr>
            <w:tcW w:w="1387"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Ｐゴシック" w:hAnsi="ＭＳ Ｐゴシック" w:eastAsia="ＭＳ Ｐゴシック"/>
                <w:color w:val="000000"/>
                <w:kern w:val="0"/>
              </w:rPr>
            </w:pPr>
          </w:p>
        </w:tc>
        <w:tc>
          <w:tcPr>
            <w:tcW w:w="1747"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widowControl w:val="1"/>
              <w:jc w:val="lef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収集資源ごみ量</w:t>
            </w:r>
          </w:p>
        </w:tc>
        <w:tc>
          <w:tcPr>
            <w:tcW w:w="1275"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2,694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2,246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2,091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1,929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1,824 </w:t>
            </w:r>
          </w:p>
        </w:tc>
      </w:tr>
      <w:tr>
        <w:trPr>
          <w:trHeight w:val="270" w:hRule="atLeast"/>
        </w:trPr>
        <w:tc>
          <w:tcPr>
            <w:tcW w:w="1387"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Ｐゴシック" w:hAnsi="ＭＳ Ｐゴシック" w:eastAsia="ＭＳ Ｐゴシック"/>
                <w:color w:val="000000"/>
                <w:kern w:val="0"/>
              </w:rPr>
            </w:pPr>
          </w:p>
        </w:tc>
        <w:tc>
          <w:tcPr>
            <w:tcW w:w="1747"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widowControl w:val="1"/>
              <w:jc w:val="lef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収集粗大ごみ量</w:t>
            </w:r>
          </w:p>
        </w:tc>
        <w:tc>
          <w:tcPr>
            <w:tcW w:w="1275"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178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118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76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73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58 </w:t>
            </w:r>
          </w:p>
        </w:tc>
      </w:tr>
      <w:tr>
        <w:trPr>
          <w:trHeight w:val="270" w:hRule="atLeast"/>
        </w:trPr>
        <w:tc>
          <w:tcPr>
            <w:tcW w:w="1387"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Ｐゴシック" w:hAnsi="ＭＳ Ｐゴシック" w:eastAsia="ＭＳ Ｐゴシック"/>
                <w:color w:val="000000"/>
                <w:kern w:val="0"/>
              </w:rPr>
            </w:pPr>
          </w:p>
        </w:tc>
        <w:tc>
          <w:tcPr>
            <w:tcW w:w="1747"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widowControl w:val="1"/>
              <w:jc w:val="lef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直接搬入量</w:t>
            </w:r>
          </w:p>
        </w:tc>
        <w:tc>
          <w:tcPr>
            <w:tcW w:w="1275"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14,125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14,574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15,441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15,341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16,919 </w:t>
            </w:r>
          </w:p>
        </w:tc>
      </w:tr>
      <w:tr>
        <w:trPr>
          <w:trHeight w:val="285" w:hRule="atLeast"/>
        </w:trPr>
        <w:tc>
          <w:tcPr>
            <w:tcW w:w="1387"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Ｐゴシック" w:hAnsi="ＭＳ Ｐゴシック" w:eastAsia="ＭＳ Ｐゴシック"/>
                <w:color w:val="000000"/>
                <w:kern w:val="0"/>
              </w:rPr>
            </w:pPr>
          </w:p>
        </w:tc>
        <w:tc>
          <w:tcPr>
            <w:tcW w:w="1747" w:type="dxa"/>
            <w:tcBorders>
              <w:top w:val="nil"/>
              <w:left w:val="nil"/>
              <w:bottom w:val="nil"/>
              <w:right w:val="single" w:color="auto" w:sz="4" w:space="0"/>
              <w:tl2br w:val="none" w:color="auto" w:sz="0" w:space="0"/>
              <w:tr2bl w:val="none" w:color="auto" w:sz="0" w:space="0"/>
            </w:tcBorders>
            <w:shd w:val="clear" w:color="000000" w:fill="EBF1DE"/>
            <w:vAlign w:val="center"/>
          </w:tcPr>
          <w:p>
            <w:pPr>
              <w:pStyle w:val="0"/>
              <w:widowControl w:val="1"/>
              <w:jc w:val="lef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集団回収量</w:t>
            </w:r>
          </w:p>
        </w:tc>
        <w:tc>
          <w:tcPr>
            <w:tcW w:w="1275" w:type="dxa"/>
            <w:tcBorders>
              <w:top w:val="nil"/>
              <w:left w:val="nil"/>
              <w:bottom w:val="nil"/>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2,711 </w:t>
            </w:r>
          </w:p>
        </w:tc>
        <w:tc>
          <w:tcPr>
            <w:tcW w:w="1276" w:type="dxa"/>
            <w:tcBorders>
              <w:top w:val="nil"/>
              <w:left w:val="nil"/>
              <w:bottom w:val="nil"/>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2,431 </w:t>
            </w:r>
          </w:p>
        </w:tc>
        <w:tc>
          <w:tcPr>
            <w:tcW w:w="1276" w:type="dxa"/>
            <w:tcBorders>
              <w:top w:val="nil"/>
              <w:left w:val="nil"/>
              <w:bottom w:val="nil"/>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2,094 </w:t>
            </w:r>
          </w:p>
        </w:tc>
        <w:tc>
          <w:tcPr>
            <w:tcW w:w="1276" w:type="dxa"/>
            <w:tcBorders>
              <w:top w:val="nil"/>
              <w:left w:val="nil"/>
              <w:bottom w:val="nil"/>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1,800 </w:t>
            </w:r>
          </w:p>
        </w:tc>
        <w:tc>
          <w:tcPr>
            <w:tcW w:w="1276" w:type="dxa"/>
            <w:tcBorders>
              <w:top w:val="nil"/>
              <w:left w:val="nil"/>
              <w:bottom w:val="nil"/>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1,586 </w:t>
            </w:r>
          </w:p>
        </w:tc>
      </w:tr>
      <w:tr>
        <w:trPr>
          <w:trHeight w:val="285" w:hRule="atLeast"/>
        </w:trPr>
        <w:tc>
          <w:tcPr>
            <w:tcW w:w="1387"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Ｐゴシック" w:hAnsi="ＭＳ Ｐゴシック" w:eastAsia="ＭＳ Ｐゴシック"/>
                <w:color w:val="000000"/>
                <w:kern w:val="0"/>
              </w:rPr>
            </w:pPr>
          </w:p>
        </w:tc>
        <w:tc>
          <w:tcPr>
            <w:tcW w:w="1747" w:type="dxa"/>
            <w:tcBorders>
              <w:top w:val="single" w:color="auto" w:sz="8" w:space="0"/>
              <w:left w:val="single" w:color="auto" w:sz="8" w:space="0"/>
              <w:bottom w:val="single" w:color="auto" w:sz="8" w:space="0"/>
              <w:right w:val="single" w:color="auto" w:sz="4" w:space="0"/>
              <w:tl2br w:val="none" w:color="auto" w:sz="0" w:space="0"/>
              <w:tr2bl w:val="none" w:color="auto" w:sz="0" w:space="0"/>
            </w:tcBorders>
            <w:shd w:val="clear" w:color="auto" w:fill="auto"/>
            <w:vAlign w:val="center"/>
          </w:tcPr>
          <w:p>
            <w:pPr>
              <w:pStyle w:val="0"/>
              <w:widowControl w:val="1"/>
              <w:jc w:val="lef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ごみ総排出量</w:t>
            </w:r>
          </w:p>
        </w:tc>
        <w:tc>
          <w:tcPr>
            <w:tcW w:w="1275" w:type="dxa"/>
            <w:tcBorders>
              <w:top w:val="single" w:color="auto" w:sz="8"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34,425 </w:t>
            </w:r>
          </w:p>
        </w:tc>
        <w:tc>
          <w:tcPr>
            <w:tcW w:w="1276" w:type="dxa"/>
            <w:tcBorders>
              <w:top w:val="single" w:color="auto" w:sz="8" w:space="0"/>
              <w:left w:val="nil"/>
              <w:bottom w:val="single" w:color="auto" w:sz="8"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33,221 </w:t>
            </w:r>
          </w:p>
        </w:tc>
        <w:tc>
          <w:tcPr>
            <w:tcW w:w="1276" w:type="dxa"/>
            <w:tcBorders>
              <w:top w:val="single" w:color="auto" w:sz="8" w:space="0"/>
              <w:left w:val="nil"/>
              <w:bottom w:val="single" w:color="auto" w:sz="8" w:space="0"/>
              <w:right w:val="single" w:color="auto" w:sz="8"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33,695 </w:t>
            </w:r>
          </w:p>
        </w:tc>
        <w:tc>
          <w:tcPr>
            <w:tcW w:w="1276" w:type="dxa"/>
            <w:tcBorders>
              <w:top w:val="single" w:color="auto" w:sz="8"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32,976 </w:t>
            </w:r>
          </w:p>
        </w:tc>
        <w:tc>
          <w:tcPr>
            <w:tcW w:w="1276" w:type="dxa"/>
            <w:tcBorders>
              <w:top w:val="single" w:color="auto" w:sz="8" w:space="0"/>
              <w:left w:val="single" w:color="auto" w:sz="4" w:space="0"/>
              <w:bottom w:val="single" w:color="auto" w:sz="8" w:space="0"/>
              <w:right w:val="single" w:color="auto" w:sz="8"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34,524 </w:t>
            </w:r>
          </w:p>
        </w:tc>
      </w:tr>
      <w:tr>
        <w:trPr>
          <w:trHeight w:val="270" w:hRule="atLeast"/>
        </w:trPr>
        <w:tc>
          <w:tcPr>
            <w:tcW w:w="1387"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Ｐゴシック" w:hAnsi="ＭＳ Ｐゴシック" w:eastAsia="ＭＳ Ｐゴシック"/>
                <w:color w:val="000000"/>
                <w:kern w:val="0"/>
              </w:rPr>
            </w:pPr>
          </w:p>
        </w:tc>
        <w:tc>
          <w:tcPr>
            <w:tcW w:w="1747"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widowControl w:val="1"/>
              <w:jc w:val="lef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ごみ処理量</w:t>
            </w:r>
          </w:p>
        </w:tc>
        <w:tc>
          <w:tcPr>
            <w:tcW w:w="1275"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33,258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35,895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35,140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33,192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34,699 </w:t>
            </w:r>
          </w:p>
        </w:tc>
      </w:tr>
      <w:tr>
        <w:trPr>
          <w:trHeight w:val="270" w:hRule="atLeast"/>
        </w:trPr>
        <w:tc>
          <w:tcPr>
            <w:tcW w:w="1387"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Ｐゴシック" w:hAnsi="ＭＳ Ｐゴシック" w:eastAsia="ＭＳ Ｐゴシック"/>
                <w:color w:val="000000"/>
                <w:kern w:val="0"/>
              </w:rPr>
            </w:pPr>
          </w:p>
        </w:tc>
        <w:tc>
          <w:tcPr>
            <w:tcW w:w="1747"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widowControl w:val="1"/>
              <w:jc w:val="left"/>
              <w:rPr>
                <w:rFonts w:hint="default" w:ascii="ＭＳ Ｐゴシック" w:hAnsi="ＭＳ Ｐゴシック" w:eastAsia="ＭＳ Ｐゴシック"/>
                <w:color w:val="000000"/>
                <w:kern w:val="0"/>
              </w:rPr>
            </w:pPr>
            <w:r>
              <w:rPr>
                <w:rFonts w:hint="eastAsia" w:ascii="ＭＳ Ｐゴシック" w:hAnsi="ＭＳ Ｐゴシック" w:eastAsia="ＭＳ Ｐゴシック"/>
                <w:color w:val="000000"/>
                <w:kern w:val="0"/>
              </w:rPr>
              <w:t>総資源化量</w:t>
            </w:r>
          </w:p>
        </w:tc>
        <w:tc>
          <w:tcPr>
            <w:tcW w:w="1275"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8,343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7,556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7,249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6,707 </w:t>
            </w:r>
          </w:p>
        </w:tc>
        <w:tc>
          <w:tcPr>
            <w:tcW w:w="1276"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 xml:space="preserve">6,610 </w:t>
            </w:r>
          </w:p>
        </w:tc>
      </w:tr>
    </w:tbl>
    <w:p>
      <w:pPr>
        <w:pStyle w:val="0"/>
        <w:ind w:firstLine="220" w:firstLineChars="100"/>
        <w:jc w:val="left"/>
        <w:rPr>
          <w:rFonts w:hint="default" w:ascii="HG丸ｺﾞｼｯｸM-PRO" w:hAnsi="HG丸ｺﾞｼｯｸM-PRO" w:eastAsia="HG丸ｺﾞｼｯｸM-PRO"/>
          <w:sz w:val="24"/>
        </w:rPr>
      </w:pPr>
    </w:p>
    <w:p>
      <w:pPr>
        <w:pStyle w:val="0"/>
        <w:jc w:val="left"/>
        <w:rPr>
          <w:rFonts w:hint="default" w:ascii="HG丸ｺﾞｼｯｸM-PRO" w:hAnsi="HG丸ｺﾞｼｯｸM-PRO" w:eastAsia="HG丸ｺﾞｼｯｸM-PRO"/>
          <w:sz w:val="24"/>
        </w:rPr>
      </w:pPr>
      <w:r>
        <w:rPr>
          <w:rFonts w:hint="eastAsia"/>
        </w:rPr>
        <w:drawing>
          <wp:inline distT="0" distB="0" distL="203200" distR="203200">
            <wp:extent cx="6658610" cy="4715510"/>
            <wp:effectExtent l="0" t="0" r="0" b="0"/>
            <wp:docPr id="1117" name="オブジェクト 0"/>
            <a:graphic xmlns:a="http://schemas.openxmlformats.org/drawingml/2006/main">
              <a:graphicData uri="http://schemas.openxmlformats.org/drawingml/2006/picture">
                <pic:pic xmlns:pic="http://schemas.openxmlformats.org/drawingml/2006/picture">
                  <pic:nvPicPr>
                    <pic:cNvPr id="1117" name="オブジェクト 0"/>
                    <pic:cNvPicPr>
                      <a:picLocks noChangeAspect="1"/>
                    </pic:cNvPicPr>
                  </pic:nvPicPr>
                  <pic:blipFill>
                    <a:blip r:embed="rId55"/>
                    <a:stretch>
                      <a:fillRect/>
                    </a:stretch>
                  </pic:blipFill>
                  <pic:spPr>
                    <a:xfrm>
                      <a:off x="0" y="0"/>
                      <a:ext cx="6658610" cy="4715510"/>
                    </a:xfrm>
                    <a:prstGeom prst="rect"/>
                  </pic:spPr>
                </pic:pic>
              </a:graphicData>
            </a:graphic>
          </wp:inline>
        </w:drawing>
      </w:r>
    </w:p>
    <w:p>
      <w:pPr>
        <w:pStyle w:val="0"/>
        <w:jc w:val="left"/>
        <w:rPr>
          <w:rFonts w:hint="default" w:ascii="HG丸ｺﾞｼｯｸM-PRO" w:hAnsi="HG丸ｺﾞｼｯｸM-PRO" w:eastAsia="HG丸ｺﾞｼｯｸM-PRO"/>
        </w:rPr>
      </w:pPr>
      <w:r>
        <w:rPr>
          <w:rFonts w:hint="eastAsia" w:ascii="HG丸ｺﾞｼｯｸM-PRO" w:hAnsi="HG丸ｺﾞｼｯｸM-PRO" w:eastAsia="HG丸ｺﾞｼｯｸM-PRO"/>
        </w:rPr>
        <w:t>〔注〕「収集粗大ごみ量」は量が少ないためグラフでは表示していない。</w:t>
      </w:r>
    </w:p>
    <w:p>
      <w:pPr>
        <w:pStyle w:val="0"/>
        <w:jc w:val="left"/>
        <w:rPr>
          <w:rFonts w:hint="default" w:ascii="HG丸ｺﾞｼｯｸM-PRO" w:hAnsi="HG丸ｺﾞｼｯｸM-PRO" w:eastAsia="HG丸ｺﾞｼｯｸM-PRO"/>
        </w:rPr>
      </w:pPr>
      <w:bookmarkStart w:id="4" w:name="_GoBack"/>
      <w:bookmarkEnd w:id="4"/>
    </w:p>
    <w:p>
      <w:pPr>
        <w:pStyle w:val="0"/>
        <w:widowControl w:val="1"/>
        <w:jc w:val="left"/>
        <w:rPr>
          <w:rFonts w:hint="eastAsia" w:ascii="HG丸ｺﾞｼｯｸM-PRO" w:hAnsi="HG丸ｺﾞｼｯｸM-PRO" w:eastAsia="HG丸ｺﾞｼｯｸM-PRO"/>
          <w:sz w:val="24"/>
          <w:u w:val="single" w:color="auto"/>
        </w:rPr>
      </w:pPr>
      <w:r>
        <w:rPr>
          <w:rFonts w:hint="default" w:ascii="HG丸ｺﾞｼｯｸM-PRO" w:hAnsi="HG丸ｺﾞｼｯｸM-PRO" w:eastAsia="HG丸ｺﾞｼｯｸM-PRO"/>
          <w:sz w:val="22"/>
        </w:rPr>
        <w:br w:type="page"/>
      </w:r>
      <w:r>
        <w:rPr>
          <w:rFonts w:hint="eastAsia" w:ascii="HG丸ｺﾞｼｯｸM-PRO" w:hAnsi="HG丸ｺﾞｼｯｸM-PRO" w:eastAsia="HG丸ｺﾞｼｯｸM-PRO"/>
          <w:sz w:val="24"/>
          <w:u w:val="single" w:color="auto"/>
        </w:rPr>
        <w:t>（７）リサイクル率</w:t>
      </w:r>
    </w:p>
    <w:tbl>
      <w:tblPr>
        <w:tblStyle w:val="11"/>
        <w:tblW w:w="9056" w:type="dxa"/>
        <w:jc w:val="center"/>
        <w:tblInd w:w="0" w:type="dxa"/>
        <w:tblLayout w:type="fixed"/>
        <w:tblCellMar>
          <w:left w:w="99" w:type="dxa"/>
          <w:right w:w="99" w:type="dxa"/>
        </w:tblCellMar>
        <w:tblLook w:firstRow="1" w:lastRow="0" w:firstColumn="1" w:lastColumn="0" w:noHBand="0" w:noVBand="1" w:val="04A0"/>
      </w:tblPr>
      <w:tblGrid>
        <w:gridCol w:w="1689"/>
        <w:gridCol w:w="2084"/>
        <w:gridCol w:w="1025"/>
        <w:gridCol w:w="1069"/>
        <w:gridCol w:w="1050"/>
        <w:gridCol w:w="1089"/>
        <w:gridCol w:w="1050"/>
      </w:tblGrid>
      <w:tr>
        <w:trPr>
          <w:trHeight w:val="270" w:hRule="atLeast"/>
        </w:trPr>
        <w:tc>
          <w:tcPr>
            <w:tcW w:w="377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000000" w:fill="C4D79B"/>
            <w:vAlign w:val="center"/>
          </w:tcPr>
          <w:p>
            <w:pPr>
              <w:pStyle w:val="0"/>
              <w:widowControl w:val="1"/>
              <w:jc w:val="center"/>
              <w:rPr>
                <w:rFonts w:hint="eastAsia"/>
              </w:rPr>
            </w:pPr>
            <w:r>
              <w:rPr>
                <w:rFonts w:hint="eastAsia" w:ascii="ＭＳ Ｐゴシック" w:hAnsi="ＭＳ Ｐゴシック" w:eastAsia="ＭＳ Ｐゴシック"/>
                <w:color w:val="000000"/>
                <w:kern w:val="0"/>
              </w:rPr>
              <w:t>区分</w:t>
            </w:r>
          </w:p>
        </w:tc>
        <w:tc>
          <w:tcPr>
            <w:tcW w:w="1025"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C4D79B"/>
            <w:vAlign w:val="center"/>
          </w:tcPr>
          <w:p>
            <w:pPr>
              <w:pStyle w:val="0"/>
              <w:widowControl w:val="1"/>
              <w:jc w:val="center"/>
              <w:rPr>
                <w:rFonts w:hint="eastAsia"/>
              </w:rPr>
            </w:pPr>
            <w:r>
              <w:rPr>
                <w:rFonts w:hint="eastAsia" w:ascii="ＭＳ Ｐゴシック" w:hAnsi="ＭＳ Ｐゴシック" w:eastAsia="ＭＳ Ｐゴシック"/>
                <w:color w:val="000000"/>
                <w:kern w:val="0"/>
              </w:rPr>
              <w:t>H27</w:t>
            </w:r>
            <w:r>
              <w:rPr>
                <w:rFonts w:hint="eastAsia" w:ascii="ＭＳ Ｐゴシック" w:hAnsi="ＭＳ Ｐゴシック" w:eastAsia="ＭＳ Ｐゴシック"/>
                <w:color w:val="000000"/>
                <w:kern w:val="0"/>
              </w:rPr>
              <w:t>年度</w:t>
            </w:r>
          </w:p>
        </w:tc>
        <w:tc>
          <w:tcPr>
            <w:tcW w:w="1069"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C4D79B"/>
            <w:vAlign w:val="center"/>
          </w:tcPr>
          <w:p>
            <w:pPr>
              <w:pStyle w:val="0"/>
              <w:widowControl w:val="1"/>
              <w:jc w:val="center"/>
              <w:rPr>
                <w:rFonts w:hint="eastAsia"/>
              </w:rPr>
            </w:pPr>
            <w:r>
              <w:rPr>
                <w:rFonts w:hint="eastAsia" w:ascii="ＭＳ Ｐゴシック" w:hAnsi="ＭＳ Ｐゴシック" w:eastAsia="ＭＳ Ｐゴシック"/>
                <w:color w:val="000000"/>
                <w:kern w:val="0"/>
              </w:rPr>
              <w:t>H28</w:t>
            </w:r>
            <w:r>
              <w:rPr>
                <w:rFonts w:hint="eastAsia" w:ascii="ＭＳ Ｐゴシック" w:hAnsi="ＭＳ Ｐゴシック" w:eastAsia="ＭＳ Ｐゴシック"/>
                <w:color w:val="000000"/>
                <w:kern w:val="0"/>
              </w:rPr>
              <w:t>年度</w:t>
            </w:r>
          </w:p>
        </w:tc>
        <w:tc>
          <w:tcPr>
            <w:tcW w:w="1050"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C4D79B"/>
            <w:vAlign w:val="center"/>
          </w:tcPr>
          <w:p>
            <w:pPr>
              <w:pStyle w:val="0"/>
              <w:shd w:val="clear" w:color="auto" w:fill="C4D79B"/>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H29</w:t>
            </w:r>
            <w:r>
              <w:rPr>
                <w:rFonts w:hint="default" w:ascii="ＭＳ Ｐゴシック" w:hAnsi="ＭＳ Ｐゴシック" w:eastAsia="ＭＳ Ｐゴシック"/>
                <w:b w:val="0"/>
                <w:i w:val="0"/>
                <w:smallCaps w:val="0"/>
                <w:sz w:val="22"/>
              </w:rPr>
              <w:t>年度</w:t>
            </w:r>
          </w:p>
        </w:tc>
        <w:tc>
          <w:tcPr>
            <w:tcW w:w="1089"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C4D79B"/>
            <w:vAlign w:val="center"/>
          </w:tcPr>
          <w:p>
            <w:pPr>
              <w:pStyle w:val="0"/>
              <w:shd w:val="clear" w:color="auto" w:fill="C4D79B"/>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H30</w:t>
            </w:r>
            <w:r>
              <w:rPr>
                <w:rFonts w:hint="default" w:ascii="ＭＳ Ｐゴシック" w:hAnsi="ＭＳ Ｐゴシック" w:eastAsia="ＭＳ Ｐゴシック"/>
                <w:b w:val="0"/>
                <w:i w:val="0"/>
                <w:smallCaps w:val="0"/>
                <w:sz w:val="22"/>
              </w:rPr>
              <w:t>年度</w:t>
            </w:r>
          </w:p>
        </w:tc>
        <w:tc>
          <w:tcPr>
            <w:tcW w:w="1050" w:type="dxa"/>
            <w:tcBorders>
              <w:top w:val="single" w:color="auto" w:sz="4" w:space="0"/>
              <w:left w:val="nil"/>
              <w:bottom w:val="single" w:color="auto" w:sz="4" w:space="0"/>
              <w:right w:val="single" w:color="auto" w:sz="4" w:space="0"/>
              <w:tl2br w:val="none" w:color="auto" w:sz="0" w:space="0"/>
              <w:tr2bl w:val="none" w:color="auto" w:sz="0" w:space="0"/>
            </w:tcBorders>
            <w:shd w:val="clear" w:color="000000" w:fill="C4D79B"/>
            <w:vAlign w:val="center"/>
          </w:tcPr>
          <w:p>
            <w:pPr>
              <w:pStyle w:val="0"/>
              <w:shd w:val="clear" w:color="auto" w:fill="C4D79B"/>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R1</w:t>
            </w:r>
            <w:r>
              <w:rPr>
                <w:rFonts w:hint="default" w:ascii="ＭＳ Ｐゴシック" w:hAnsi="ＭＳ Ｐゴシック" w:eastAsia="ＭＳ Ｐゴシック"/>
                <w:b w:val="0"/>
                <w:i w:val="0"/>
                <w:smallCaps w:val="0"/>
                <w:sz w:val="22"/>
              </w:rPr>
              <w:t>年度</w:t>
            </w:r>
          </w:p>
        </w:tc>
      </w:tr>
      <w:tr>
        <w:trPr>
          <w:trHeight w:val="540" w:hRule="atLeast"/>
        </w:trPr>
        <w:tc>
          <w:tcPr>
            <w:tcW w:w="1689"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center"/>
              <w:rPr>
                <w:rFonts w:hint="eastAsia"/>
              </w:rPr>
            </w:pPr>
            <w:r>
              <w:rPr>
                <w:rFonts w:hint="eastAsia" w:ascii="ＭＳ Ｐゴシック" w:hAnsi="ＭＳ Ｐゴシック" w:eastAsia="ＭＳ Ｐゴシック"/>
                <w:color w:val="000000"/>
                <w:kern w:val="0"/>
              </w:rPr>
              <w:t>一人一日当たりごみ排出量（ｇ）</w:t>
            </w:r>
          </w:p>
        </w:tc>
        <w:tc>
          <w:tcPr>
            <w:tcW w:w="208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left"/>
              <w:rPr>
                <w:rFonts w:hint="eastAsia"/>
              </w:rPr>
            </w:pPr>
            <w:r>
              <w:rPr>
                <w:rFonts w:hint="eastAsia" w:ascii="ＭＳ Ｐゴシック" w:hAnsi="ＭＳ Ｐゴシック" w:eastAsia="ＭＳ Ｐゴシック"/>
                <w:color w:val="000000"/>
                <w:kern w:val="0"/>
              </w:rPr>
              <w:t>一人一日当たり</w:t>
            </w:r>
            <w:r>
              <w:rPr>
                <w:rFonts w:hint="eastAsia" w:ascii="ＭＳ Ｐゴシック" w:hAnsi="ＭＳ Ｐゴシック" w:eastAsia="ＭＳ Ｐゴシック"/>
                <w:color w:val="000000"/>
                <w:kern w:val="0"/>
              </w:rPr>
              <w:br w:type="textWrapping" w:clear="none"/>
            </w:r>
            <w:r>
              <w:rPr>
                <w:rFonts w:hint="eastAsia" w:ascii="ＭＳ Ｐゴシック" w:hAnsi="ＭＳ Ｐゴシック" w:eastAsia="ＭＳ Ｐゴシック"/>
                <w:color w:val="000000"/>
                <w:kern w:val="0"/>
              </w:rPr>
              <w:t>ごみ排出量（全国）</w:t>
            </w:r>
          </w:p>
        </w:tc>
        <w:tc>
          <w:tcPr>
            <w:tcW w:w="102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eastAsia"/>
              </w:rPr>
            </w:pPr>
            <w:r>
              <w:rPr>
                <w:rFonts w:hint="eastAsia" w:ascii="ＭＳ Ｐゴシック" w:hAnsi="ＭＳ Ｐゴシック" w:eastAsia="ＭＳ Ｐゴシック"/>
                <w:color w:val="000000"/>
                <w:kern w:val="0"/>
              </w:rPr>
              <w:t>939</w:t>
            </w:r>
          </w:p>
        </w:tc>
        <w:tc>
          <w:tcPr>
            <w:tcW w:w="10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eastAsia"/>
              </w:rPr>
            </w:pPr>
            <w:r>
              <w:rPr>
                <w:rFonts w:hint="eastAsia" w:ascii="ＭＳ Ｐゴシック" w:hAnsi="ＭＳ Ｐゴシック" w:eastAsia="ＭＳ Ｐゴシック"/>
                <w:color w:val="000000"/>
                <w:kern w:val="0"/>
              </w:rPr>
              <w:t>925</w:t>
            </w:r>
          </w:p>
        </w:tc>
        <w:tc>
          <w:tcPr>
            <w:tcW w:w="10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920</w:t>
            </w:r>
          </w:p>
        </w:tc>
        <w:tc>
          <w:tcPr>
            <w:tcW w:w="108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918</w:t>
            </w:r>
          </w:p>
        </w:tc>
        <w:tc>
          <w:tcPr>
            <w:tcW w:w="10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w:t>
            </w:r>
          </w:p>
        </w:tc>
      </w:tr>
      <w:tr>
        <w:trPr>
          <w:trHeight w:val="810" w:hRule="atLeast"/>
        </w:trPr>
        <w:tc>
          <w:tcPr>
            <w:tcW w:w="1689"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208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left"/>
              <w:rPr>
                <w:rFonts w:hint="eastAsia"/>
              </w:rPr>
            </w:pPr>
            <w:r>
              <w:rPr>
                <w:rFonts w:hint="eastAsia" w:ascii="ＭＳ Ｐゴシック" w:hAnsi="ＭＳ Ｐゴシック" w:eastAsia="ＭＳ Ｐゴシック"/>
                <w:color w:val="000000"/>
                <w:kern w:val="0"/>
              </w:rPr>
              <w:t>一人一日当たり</w:t>
            </w:r>
            <w:r>
              <w:rPr>
                <w:rFonts w:hint="eastAsia" w:ascii="ＭＳ Ｐゴシック" w:hAnsi="ＭＳ Ｐゴシック" w:eastAsia="ＭＳ Ｐゴシック"/>
                <w:color w:val="000000"/>
                <w:kern w:val="0"/>
              </w:rPr>
              <w:br w:type="textWrapping" w:clear="none"/>
            </w:r>
            <w:r>
              <w:rPr>
                <w:rFonts w:hint="eastAsia" w:ascii="ＭＳ Ｐゴシック" w:hAnsi="ＭＳ Ｐゴシック" w:eastAsia="ＭＳ Ｐゴシック"/>
                <w:color w:val="000000"/>
                <w:kern w:val="0"/>
              </w:rPr>
              <w:t>ごみ排出量（岡山県）</w:t>
            </w:r>
          </w:p>
        </w:tc>
        <w:tc>
          <w:tcPr>
            <w:tcW w:w="102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eastAsia"/>
              </w:rPr>
            </w:pPr>
            <w:r>
              <w:rPr>
                <w:rFonts w:hint="eastAsia" w:ascii="ＭＳ Ｐゴシック" w:hAnsi="ＭＳ Ｐゴシック" w:eastAsia="ＭＳ Ｐゴシック"/>
                <w:color w:val="000000"/>
                <w:kern w:val="0"/>
              </w:rPr>
              <w:t>1003</w:t>
            </w:r>
          </w:p>
        </w:tc>
        <w:tc>
          <w:tcPr>
            <w:tcW w:w="10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eastAsia"/>
              </w:rPr>
            </w:pPr>
            <w:r>
              <w:rPr>
                <w:rFonts w:hint="eastAsia" w:ascii="ＭＳ Ｐゴシック" w:hAnsi="ＭＳ Ｐゴシック" w:eastAsia="ＭＳ Ｐゴシック"/>
                <w:color w:val="000000"/>
                <w:kern w:val="0"/>
              </w:rPr>
              <w:t>979</w:t>
            </w:r>
          </w:p>
        </w:tc>
        <w:tc>
          <w:tcPr>
            <w:tcW w:w="10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993</w:t>
            </w:r>
          </w:p>
        </w:tc>
        <w:tc>
          <w:tcPr>
            <w:tcW w:w="108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970</w:t>
            </w:r>
          </w:p>
        </w:tc>
        <w:tc>
          <w:tcPr>
            <w:tcW w:w="10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w:t>
            </w:r>
          </w:p>
        </w:tc>
      </w:tr>
      <w:tr>
        <w:trPr>
          <w:trHeight w:val="540" w:hRule="atLeast"/>
        </w:trPr>
        <w:tc>
          <w:tcPr>
            <w:tcW w:w="1689"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208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left"/>
              <w:rPr>
                <w:rFonts w:hint="eastAsia"/>
              </w:rPr>
            </w:pPr>
            <w:r>
              <w:rPr>
                <w:rFonts w:hint="eastAsia" w:ascii="ＭＳ Ｐゴシック" w:hAnsi="ＭＳ Ｐゴシック" w:eastAsia="ＭＳ Ｐゴシック"/>
                <w:color w:val="000000"/>
                <w:kern w:val="0"/>
              </w:rPr>
              <w:t>一人一日当たり</w:t>
            </w:r>
            <w:r>
              <w:rPr>
                <w:rFonts w:hint="eastAsia" w:ascii="ＭＳ Ｐゴシック" w:hAnsi="ＭＳ Ｐゴシック" w:eastAsia="ＭＳ Ｐゴシック"/>
                <w:color w:val="000000"/>
                <w:kern w:val="0"/>
              </w:rPr>
              <w:br w:type="textWrapping" w:clear="none"/>
            </w:r>
            <w:r>
              <w:rPr>
                <w:rFonts w:hint="eastAsia" w:ascii="ＭＳ Ｐゴシック" w:hAnsi="ＭＳ Ｐゴシック" w:eastAsia="ＭＳ Ｐゴシック"/>
                <w:color w:val="000000"/>
                <w:kern w:val="0"/>
              </w:rPr>
              <w:t>ごみ排出量（津山市）</w:t>
            </w:r>
          </w:p>
        </w:tc>
        <w:tc>
          <w:tcPr>
            <w:tcW w:w="102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eastAsia"/>
              </w:rPr>
            </w:pPr>
            <w:r>
              <w:rPr>
                <w:rFonts w:hint="eastAsia" w:ascii="ＭＳ Ｐゴシック" w:hAnsi="ＭＳ Ｐゴシック" w:eastAsia="ＭＳ Ｐゴシック"/>
                <w:color w:val="000000"/>
                <w:kern w:val="0"/>
              </w:rPr>
              <w:t>906</w:t>
            </w:r>
          </w:p>
        </w:tc>
        <w:tc>
          <w:tcPr>
            <w:tcW w:w="10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jc w:val="right"/>
              <w:rPr>
                <w:rFonts w:hint="eastAsia"/>
              </w:rPr>
            </w:pPr>
            <w:r>
              <w:rPr>
                <w:rFonts w:hint="eastAsia" w:ascii="ＭＳ Ｐゴシック" w:hAnsi="ＭＳ Ｐゴシック" w:eastAsia="ＭＳ Ｐゴシック"/>
                <w:color w:val="000000"/>
                <w:kern w:val="0"/>
              </w:rPr>
              <w:t>883</w:t>
            </w:r>
          </w:p>
        </w:tc>
        <w:tc>
          <w:tcPr>
            <w:tcW w:w="10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902</w:t>
            </w:r>
          </w:p>
        </w:tc>
        <w:tc>
          <w:tcPr>
            <w:tcW w:w="108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889</w:t>
            </w:r>
          </w:p>
        </w:tc>
        <w:tc>
          <w:tcPr>
            <w:tcW w:w="10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939</w:t>
            </w:r>
          </w:p>
        </w:tc>
      </w:tr>
      <w:tr>
        <w:trPr>
          <w:trHeight w:val="540" w:hRule="atLeast"/>
        </w:trPr>
        <w:tc>
          <w:tcPr>
            <w:tcW w:w="1689" w:type="dxa"/>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000000" w:fill="EBF1DE"/>
            <w:vAlign w:val="center"/>
          </w:tcPr>
          <w:p>
            <w:pPr>
              <w:pStyle w:val="0"/>
              <w:widowControl w:val="1"/>
              <w:jc w:val="center"/>
              <w:rPr>
                <w:rFonts w:hint="eastAsia"/>
              </w:rPr>
            </w:pPr>
            <w:r>
              <w:rPr>
                <w:rFonts w:hint="eastAsia" w:ascii="ＭＳ Ｐゴシック" w:hAnsi="ＭＳ Ｐゴシック" w:eastAsia="ＭＳ Ｐゴシック"/>
                <w:color w:val="000000"/>
                <w:kern w:val="0"/>
              </w:rPr>
              <w:t>リサイクル率</w:t>
            </w:r>
          </w:p>
        </w:tc>
        <w:tc>
          <w:tcPr>
            <w:tcW w:w="2084"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widowControl w:val="1"/>
              <w:jc w:val="left"/>
              <w:rPr>
                <w:rFonts w:hint="eastAsia"/>
              </w:rPr>
            </w:pPr>
            <w:r>
              <w:rPr>
                <w:rFonts w:hint="eastAsia" w:ascii="ＭＳ Ｐゴシック" w:hAnsi="ＭＳ Ｐゴシック" w:eastAsia="ＭＳ Ｐゴシック"/>
                <w:color w:val="000000"/>
                <w:kern w:val="0"/>
              </w:rPr>
              <w:t>リサイクル率</w:t>
            </w:r>
            <w:r>
              <w:rPr>
                <w:rFonts w:hint="eastAsia" w:ascii="ＭＳ Ｐゴシック" w:hAnsi="ＭＳ Ｐゴシック" w:eastAsia="ＭＳ Ｐゴシック"/>
                <w:color w:val="000000"/>
                <w:kern w:val="0"/>
              </w:rPr>
              <w:br w:type="textWrapping" w:clear="none"/>
            </w:r>
            <w:r>
              <w:rPr>
                <w:rFonts w:hint="eastAsia" w:ascii="ＭＳ Ｐゴシック" w:hAnsi="ＭＳ Ｐゴシック" w:eastAsia="ＭＳ Ｐゴシック"/>
                <w:color w:val="000000"/>
                <w:kern w:val="0"/>
              </w:rPr>
              <w:t>（全国）</w:t>
            </w:r>
          </w:p>
        </w:tc>
        <w:tc>
          <w:tcPr>
            <w:tcW w:w="1025"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widowControl w:val="1"/>
              <w:jc w:val="right"/>
              <w:rPr>
                <w:rFonts w:hint="eastAsia"/>
              </w:rPr>
            </w:pPr>
            <w:r>
              <w:rPr>
                <w:rFonts w:hint="eastAsia" w:ascii="ＭＳ Ｐゴシック" w:hAnsi="ＭＳ Ｐゴシック" w:eastAsia="ＭＳ Ｐゴシック"/>
                <w:color w:val="000000"/>
                <w:kern w:val="0"/>
              </w:rPr>
              <w:t>20.4%</w:t>
            </w:r>
          </w:p>
        </w:tc>
        <w:tc>
          <w:tcPr>
            <w:tcW w:w="1069"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widowControl w:val="1"/>
              <w:jc w:val="right"/>
              <w:rPr>
                <w:rFonts w:hint="eastAsia"/>
              </w:rPr>
            </w:pPr>
            <w:r>
              <w:rPr>
                <w:rFonts w:hint="eastAsia" w:ascii="ＭＳ Ｐゴシック" w:hAnsi="ＭＳ Ｐゴシック" w:eastAsia="ＭＳ Ｐゴシック"/>
                <w:color w:val="000000"/>
                <w:kern w:val="0"/>
              </w:rPr>
              <w:t>20.3%</w:t>
            </w:r>
          </w:p>
        </w:tc>
        <w:tc>
          <w:tcPr>
            <w:tcW w:w="1050"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20.2%</w:t>
            </w:r>
          </w:p>
        </w:tc>
        <w:tc>
          <w:tcPr>
            <w:tcW w:w="1089"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19.9%</w:t>
            </w:r>
          </w:p>
        </w:tc>
        <w:tc>
          <w:tcPr>
            <w:tcW w:w="1050"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w:t>
            </w:r>
          </w:p>
        </w:tc>
      </w:tr>
      <w:tr>
        <w:trPr>
          <w:trHeight w:val="540" w:hRule="atLeast"/>
        </w:trPr>
        <w:tc>
          <w:tcPr>
            <w:tcW w:w="1689"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2084"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widowControl w:val="1"/>
              <w:jc w:val="left"/>
              <w:rPr>
                <w:rFonts w:hint="eastAsia"/>
              </w:rPr>
            </w:pPr>
            <w:r>
              <w:rPr>
                <w:rFonts w:hint="eastAsia" w:ascii="ＭＳ Ｐゴシック" w:hAnsi="ＭＳ Ｐゴシック" w:eastAsia="ＭＳ Ｐゴシック"/>
                <w:color w:val="000000"/>
                <w:kern w:val="0"/>
              </w:rPr>
              <w:t>リサイクル率</w:t>
            </w:r>
            <w:r>
              <w:rPr>
                <w:rFonts w:hint="eastAsia" w:ascii="ＭＳ Ｐゴシック" w:hAnsi="ＭＳ Ｐゴシック" w:eastAsia="ＭＳ Ｐゴシック"/>
                <w:color w:val="000000"/>
                <w:kern w:val="0"/>
              </w:rPr>
              <w:br w:type="textWrapping" w:clear="none"/>
            </w:r>
            <w:r>
              <w:rPr>
                <w:rFonts w:hint="eastAsia" w:ascii="ＭＳ Ｐゴシック" w:hAnsi="ＭＳ Ｐゴシック" w:eastAsia="ＭＳ Ｐゴシック"/>
                <w:color w:val="000000"/>
                <w:kern w:val="0"/>
              </w:rPr>
              <w:t>（岡山県）</w:t>
            </w:r>
          </w:p>
        </w:tc>
        <w:tc>
          <w:tcPr>
            <w:tcW w:w="1025"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widowControl w:val="1"/>
              <w:jc w:val="right"/>
              <w:rPr>
                <w:rFonts w:hint="eastAsia"/>
              </w:rPr>
            </w:pPr>
            <w:r>
              <w:rPr>
                <w:rFonts w:hint="eastAsia" w:ascii="ＭＳ Ｐゴシック" w:hAnsi="ＭＳ Ｐゴシック" w:eastAsia="ＭＳ Ｐゴシック"/>
                <w:color w:val="000000"/>
                <w:kern w:val="0"/>
              </w:rPr>
              <w:t>30.3%</w:t>
            </w:r>
          </w:p>
        </w:tc>
        <w:tc>
          <w:tcPr>
            <w:tcW w:w="1069"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widowControl w:val="1"/>
              <w:jc w:val="right"/>
              <w:rPr>
                <w:rFonts w:hint="eastAsia"/>
              </w:rPr>
            </w:pPr>
            <w:r>
              <w:rPr>
                <w:rFonts w:hint="eastAsia" w:ascii="ＭＳ Ｐゴシック" w:hAnsi="ＭＳ Ｐゴシック" w:eastAsia="ＭＳ Ｐゴシック"/>
                <w:color w:val="000000"/>
                <w:kern w:val="0"/>
              </w:rPr>
              <w:t>31.2%</w:t>
            </w:r>
          </w:p>
        </w:tc>
        <w:tc>
          <w:tcPr>
            <w:tcW w:w="1050"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29.6%</w:t>
            </w:r>
          </w:p>
        </w:tc>
        <w:tc>
          <w:tcPr>
            <w:tcW w:w="1089"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28.6%</w:t>
            </w:r>
          </w:p>
        </w:tc>
        <w:tc>
          <w:tcPr>
            <w:tcW w:w="1050"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center"/>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w:t>
            </w:r>
          </w:p>
        </w:tc>
      </w:tr>
      <w:tr>
        <w:trPr>
          <w:trHeight w:val="540" w:hRule="atLeast"/>
        </w:trPr>
        <w:tc>
          <w:tcPr>
            <w:tcW w:w="1689" w:type="dxa"/>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eastAsia"/>
              </w:rPr>
            </w:pPr>
          </w:p>
        </w:tc>
        <w:tc>
          <w:tcPr>
            <w:tcW w:w="2084"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widowControl w:val="1"/>
              <w:jc w:val="left"/>
              <w:rPr>
                <w:rFonts w:hint="eastAsia"/>
              </w:rPr>
            </w:pPr>
            <w:r>
              <w:rPr>
                <w:rFonts w:hint="eastAsia" w:ascii="ＭＳ Ｐゴシック" w:hAnsi="ＭＳ Ｐゴシック" w:eastAsia="ＭＳ Ｐゴシック"/>
                <w:color w:val="000000"/>
                <w:kern w:val="0"/>
              </w:rPr>
              <w:t>リサイクル率</w:t>
            </w:r>
            <w:r>
              <w:rPr>
                <w:rFonts w:hint="eastAsia" w:ascii="ＭＳ Ｐゴシック" w:hAnsi="ＭＳ Ｐゴシック" w:eastAsia="ＭＳ Ｐゴシック"/>
                <w:color w:val="000000"/>
                <w:kern w:val="0"/>
              </w:rPr>
              <w:br w:type="textWrapping" w:clear="none"/>
            </w:r>
            <w:r>
              <w:rPr>
                <w:rFonts w:hint="eastAsia" w:ascii="ＭＳ Ｐゴシック" w:hAnsi="ＭＳ Ｐゴシック" w:eastAsia="ＭＳ Ｐゴシック"/>
                <w:color w:val="000000"/>
                <w:kern w:val="0"/>
              </w:rPr>
              <w:t>（津山市）</w:t>
            </w:r>
          </w:p>
        </w:tc>
        <w:tc>
          <w:tcPr>
            <w:tcW w:w="1025"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widowControl w:val="1"/>
              <w:jc w:val="right"/>
              <w:rPr>
                <w:rFonts w:hint="eastAsia"/>
              </w:rPr>
            </w:pPr>
            <w:r>
              <w:rPr>
                <w:rFonts w:hint="eastAsia" w:ascii="ＭＳ Ｐゴシック" w:hAnsi="ＭＳ Ｐゴシック" w:eastAsia="ＭＳ Ｐゴシック"/>
                <w:color w:val="000000"/>
                <w:kern w:val="0"/>
              </w:rPr>
              <w:t>25.1%</w:t>
            </w:r>
          </w:p>
        </w:tc>
        <w:tc>
          <w:tcPr>
            <w:tcW w:w="1069"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widowControl w:val="1"/>
              <w:jc w:val="right"/>
              <w:rPr>
                <w:rFonts w:hint="eastAsia"/>
              </w:rPr>
            </w:pPr>
            <w:r>
              <w:rPr>
                <w:rFonts w:hint="eastAsia" w:ascii="ＭＳ Ｐゴシック" w:hAnsi="ＭＳ Ｐゴシック" w:eastAsia="ＭＳ Ｐゴシック"/>
                <w:color w:val="000000"/>
                <w:kern w:val="0"/>
              </w:rPr>
              <w:t>21.1%</w:t>
            </w:r>
          </w:p>
        </w:tc>
        <w:tc>
          <w:tcPr>
            <w:tcW w:w="1050"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20.6%</w:t>
            </w:r>
          </w:p>
        </w:tc>
        <w:tc>
          <w:tcPr>
            <w:tcW w:w="1089"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20.2%</w:t>
            </w:r>
          </w:p>
        </w:tc>
        <w:tc>
          <w:tcPr>
            <w:tcW w:w="1050" w:type="dxa"/>
            <w:tcBorders>
              <w:top w:val="nil"/>
              <w:left w:val="nil"/>
              <w:bottom w:val="single" w:color="auto" w:sz="4" w:space="0"/>
              <w:right w:val="single" w:color="auto" w:sz="4" w:space="0"/>
              <w:tl2br w:val="none" w:color="auto" w:sz="0" w:space="0"/>
              <w:tr2bl w:val="none" w:color="auto" w:sz="0" w:space="0"/>
            </w:tcBorders>
            <w:shd w:val="clear" w:color="000000" w:fill="EBF1DE"/>
            <w:vAlign w:val="center"/>
          </w:tcPr>
          <w:p>
            <w:pPr>
              <w:pStyle w:val="0"/>
              <w:shd w:val="clear" w:color="auto" w:fill="EBF1DE"/>
              <w:jc w:val="right"/>
              <w:rPr>
                <w:rFonts w:hint="default" w:ascii="ＭＳ Ｐゴシック" w:hAnsi="ＭＳ Ｐゴシック" w:eastAsia="ＭＳ Ｐゴシック"/>
                <w:b w:val="0"/>
                <w:i w:val="0"/>
                <w:smallCaps w:val="0"/>
                <w:sz w:val="22"/>
              </w:rPr>
            </w:pPr>
            <w:r>
              <w:rPr>
                <w:rFonts w:hint="default" w:ascii="ＭＳ Ｐゴシック" w:hAnsi="ＭＳ Ｐゴシック" w:eastAsia="ＭＳ Ｐゴシック"/>
                <w:b w:val="0"/>
                <w:i w:val="0"/>
                <w:smallCaps w:val="0"/>
                <w:sz w:val="22"/>
              </w:rPr>
              <w:t>19.0%</w:t>
            </w:r>
          </w:p>
        </w:tc>
      </w:tr>
    </w:tbl>
    <w:p>
      <w:pPr>
        <w:pStyle w:val="0"/>
        <w:widowControl w:val="1"/>
        <w:jc w:val="left"/>
        <w:rPr>
          <w:rFonts w:hint="default" w:ascii="HG丸ｺﾞｼｯｸM-PRO" w:hAnsi="HG丸ｺﾞｼｯｸM-PRO" w:eastAsia="HG丸ｺﾞｼｯｸM-PRO"/>
          <w:sz w:val="22"/>
        </w:rPr>
      </w:pPr>
    </w:p>
    <w:p>
      <w:pPr>
        <w:pStyle w:val="0"/>
        <w:jc w:val="center"/>
        <w:rPr>
          <w:rFonts w:hint="default" w:ascii="HG丸ｺﾞｼｯｸM-PRO" w:hAnsi="HG丸ｺﾞｼｯｸM-PRO" w:eastAsia="HG丸ｺﾞｼｯｸM-PRO"/>
          <w:sz w:val="22"/>
        </w:rPr>
      </w:pPr>
      <w:r>
        <w:rPr>
          <w:rFonts w:hint="eastAsia"/>
        </w:rPr>
        <w:drawing>
          <wp:inline distT="0" distB="0" distL="203200" distR="203200">
            <wp:extent cx="6840220" cy="4264025"/>
            <wp:effectExtent l="0" t="0" r="0" b="0"/>
            <wp:docPr id="1118" name="オブジェクト 0"/>
            <a:graphic xmlns:a="http://schemas.openxmlformats.org/drawingml/2006/main">
              <a:graphicData uri="http://schemas.openxmlformats.org/drawingml/2006/picture">
                <pic:pic xmlns:pic="http://schemas.openxmlformats.org/drawingml/2006/picture">
                  <pic:nvPicPr>
                    <pic:cNvPr id="1118" name="オブジェクト 0"/>
                    <pic:cNvPicPr>
                      <a:picLocks noChangeAspect="1"/>
                    </pic:cNvPicPr>
                  </pic:nvPicPr>
                  <pic:blipFill>
                    <a:blip r:embed="rId56"/>
                    <a:stretch>
                      <a:fillRect/>
                    </a:stretch>
                  </pic:blipFill>
                  <pic:spPr>
                    <a:xfrm>
                      <a:off x="0" y="0"/>
                      <a:ext cx="6840220" cy="4264025"/>
                    </a:xfrm>
                    <a:prstGeom prst="rect">
                      <a:avLst/>
                    </a:prstGeom>
                  </pic:spPr>
                </pic:pic>
              </a:graphicData>
            </a:graphic>
          </wp:inline>
        </w:drawing>
      </w:r>
    </w:p>
    <w:p>
      <w:pPr>
        <w:pStyle w:val="0"/>
        <w:jc w:val="center"/>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2"/>
        </w:rPr>
      </w:pPr>
      <w:r>
        <w:rPr>
          <w:rFonts w:hint="default" w:ascii="HG丸ｺﾞｼｯｸM-PRO" w:hAnsi="HG丸ｺﾞｼｯｸM-PRO" w:eastAsia="HG丸ｺﾞｼｯｸM-PRO"/>
          <w:sz w:val="24"/>
        </w:rPr>
        <mc:AlternateContent>
          <mc:Choice Requires="wps">
            <w:drawing>
              <wp:anchor distT="0" distB="0" distL="114300" distR="114300" simplePos="0" relativeHeight="57" behindDoc="0" locked="0" layoutInCell="1" hidden="0" allowOverlap="1">
                <wp:simplePos x="0" y="0"/>
                <wp:positionH relativeFrom="column">
                  <wp:posOffset>3576320</wp:posOffset>
                </wp:positionH>
                <wp:positionV relativeFrom="paragraph">
                  <wp:posOffset>3337560</wp:posOffset>
                </wp:positionV>
                <wp:extent cx="2390775" cy="1807845"/>
                <wp:effectExtent l="0" t="0" r="635" b="635"/>
                <wp:wrapNone/>
                <wp:docPr id="1119" name="テキスト ボックス 2"/>
                <a:graphic xmlns:a="http://schemas.openxmlformats.org/drawingml/2006/main">
                  <a:graphicData uri="http://schemas.microsoft.com/office/word/2010/wordprocessingShape">
                    <wps:wsp>
                      <wps:cNvPr id="1119" name="テキスト ボックス 2"/>
                      <wps:cNvSpPr txBox="1">
                        <a:spLocks noChangeArrowheads="1"/>
                      </wps:cNvSpPr>
                      <wps:spPr>
                        <a:xfrm>
                          <a:off x="0" y="0"/>
                          <a:ext cx="2390775" cy="1807845"/>
                        </a:xfrm>
                        <a:prstGeom prst="rect">
                          <a:avLst/>
                        </a:prstGeom>
                        <a:noFill/>
                        <a:ln w="9525">
                          <a:noFill/>
                          <a:miter lim="800000"/>
                          <a:headEnd/>
                          <a:tailEnd/>
                        </a:ln>
                      </wps:spPr>
                      <wps:txbx>
                        <w:txbxContent>
                          <w:p>
                            <w:pPr>
                              <w:pStyle w:val="0"/>
                              <w:rPr>
                                <w:rFonts w:hint="default"/>
                                <w:sz w:val="18"/>
                              </w:rPr>
                            </w:pP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262.8pt;mso-position-vertical-relative:text;mso-position-horizontal-relative:text;v-text-anchor:top;position:absolute;height:142.35pt;mso-wrap-distance-top:0pt;width:188.25pt;mso-wrap-distance-left:9pt;margin-left:281.60000000000002pt;z-index:57;" o:spid="_x0000_s1119" o:allowincell="t" o:allowoverlap="t" filled="f" stroked="f" strokeweight="0.75pt" o:spt="202" type="#_x0000_t202">
                <v:fill/>
                <v:stroke miterlimit="8"/>
                <v:textbox style="layout-flow:horizontal;mso-fit-shape-to-text:t;">
                  <w:txbxContent>
                    <w:p>
                      <w:pPr>
                        <w:pStyle w:val="0"/>
                        <w:rPr>
                          <w:rFonts w:hint="default"/>
                          <w:sz w:val="18"/>
                        </w:rPr>
                      </w:pPr>
                    </w:p>
                  </w:txbxContent>
                </v:textbox>
                <v:imagedata o:title=""/>
                <w10:wrap type="none" anchorx="text" anchory="text"/>
              </v:shape>
            </w:pict>
          </mc:Fallback>
        </mc:AlternateContent>
      </w:r>
      <w:r>
        <w:rPr>
          <w:rFonts w:hint="eastAsia" w:ascii="HG丸ｺﾞｼｯｸM-PRO" w:hAnsi="HG丸ｺﾞｼｯｸM-PRO" w:eastAsia="HG丸ｺﾞｼｯｸM-PRO"/>
          <w:sz w:val="22"/>
        </w:rPr>
        <w:t>※数値について、</w:t>
      </w:r>
      <w:r>
        <w:rPr>
          <w:rFonts w:hint="eastAsia" w:ascii="HG丸ｺﾞｼｯｸM-PRO" w:hAnsi="HG丸ｺﾞｼｯｸM-PRO" w:eastAsia="HG丸ｺﾞｼｯｸM-PRO"/>
          <w:sz w:val="22"/>
        </w:rPr>
        <w:t>2</w:t>
      </w:r>
      <w:r>
        <w:rPr>
          <w:rFonts w:hint="eastAsia" w:ascii="HG丸ｺﾞｼｯｸM-PRO" w:hAnsi="HG丸ｺﾞｼｯｸM-PRO" w:eastAsia="HG丸ｺﾞｼｯｸM-PRO"/>
          <w:sz w:val="22"/>
        </w:rPr>
        <w:t>次計画では「一般廃棄物処理実態調査（環境省）」を参照していたが、「津山市一般廃棄物処理基本計画」の策定に伴い、これに基づいたデータを参照とした。</w:t>
      </w:r>
    </w:p>
    <w:p>
      <w:pPr>
        <w:pStyle w:val="0"/>
        <w:rPr>
          <w:rFonts w:hint="default" w:ascii="HG丸ｺﾞｼｯｸM-PRO" w:hAnsi="HG丸ｺﾞｼｯｸM-PRO" w:eastAsia="HG丸ｺﾞｼｯｸM-PRO"/>
          <w:sz w:val="22"/>
        </w:rPr>
      </w:pPr>
    </w:p>
    <w:p>
      <w:pPr>
        <w:pStyle w:val="0"/>
        <w:widowControl w:val="1"/>
        <w:jc w:val="left"/>
        <w:rPr>
          <w:rFonts w:hint="default" w:ascii="HG丸ｺﾞｼｯｸM-PRO" w:hAnsi="HG丸ｺﾞｼｯｸM-PRO" w:eastAsia="HG丸ｺﾞｼｯｸM-PRO"/>
          <w:sz w:val="22"/>
        </w:rPr>
      </w:pPr>
      <w:r>
        <w:rPr>
          <w:rFonts w:hint="default" w:ascii="HG丸ｺﾞｼｯｸM-PRO" w:hAnsi="HG丸ｺﾞｼｯｸM-PRO" w:eastAsia="HG丸ｺﾞｼｯｸM-PRO"/>
          <w:sz w:val="24"/>
        </w:rPr>
        <w:br w:type="page"/>
      </w:r>
    </w:p>
    <w:p>
      <w:pPr>
        <w:pStyle w:val="0"/>
        <w:widowControl w:val="1"/>
        <w:jc w:val="left"/>
        <w:rPr>
          <w:rFonts w:hint="default" w:ascii="HG丸ｺﾞｼｯｸM-PRO" w:hAnsi="HG丸ｺﾞｼｯｸM-PRO" w:eastAsia="HG丸ｺﾞｼｯｸM-PRO"/>
          <w:sz w:val="24"/>
          <w:u w:val="single" w:color="auto"/>
        </w:rPr>
      </w:pPr>
      <w:r>
        <w:rPr>
          <w:rFonts w:hint="eastAsia" w:ascii="HG丸ｺﾞｼｯｸM-PRO" w:hAnsi="HG丸ｺﾞｼｯｸM-PRO" w:eastAsia="HG丸ｺﾞｼｯｸM-PRO"/>
          <w:sz w:val="24"/>
          <w:u w:val="single" w:color="auto"/>
        </w:rPr>
        <w:t>（８）生活排水処理</w:t>
      </w:r>
    </w:p>
    <w:p>
      <w:pPr>
        <w:pStyle w:val="0"/>
        <w:rPr>
          <w:rFonts w:hint="default" w:ascii="HG丸ｺﾞｼｯｸM-PRO" w:hAnsi="HG丸ｺﾞｼｯｸM-PRO" w:eastAsia="HG丸ｺﾞｼｯｸM-PRO"/>
          <w:sz w:val="24"/>
          <w:u w:val="single" w:color="auto"/>
        </w:rPr>
      </w:pPr>
      <w:r>
        <w:rPr>
          <w:rFonts w:hint="eastAsia"/>
        </w:rPr>
        <w:drawing>
          <wp:inline distT="0" distB="0" distL="203200" distR="203200">
            <wp:extent cx="5759450" cy="3148330"/>
            <wp:effectExtent l="0" t="0" r="0" b="0"/>
            <wp:docPr id="1120" name="オブジェクト 0"/>
            <a:graphic xmlns:a="http://schemas.openxmlformats.org/drawingml/2006/main">
              <a:graphicData uri="http://schemas.openxmlformats.org/drawingml/2006/picture">
                <pic:pic xmlns:pic="http://schemas.openxmlformats.org/drawingml/2006/picture">
                  <pic:nvPicPr>
                    <pic:cNvPr id="1120" name="オブジェクト 0"/>
                    <pic:cNvPicPr>
                      <a:picLocks noChangeAspect="1"/>
                    </pic:cNvPicPr>
                  </pic:nvPicPr>
                  <pic:blipFill>
                    <a:blip r:embed="rId57"/>
                    <a:stretch>
                      <a:fillRect/>
                    </a:stretch>
                  </pic:blipFill>
                  <pic:spPr>
                    <a:xfrm>
                      <a:off x="0" y="0"/>
                      <a:ext cx="5759450" cy="3148330"/>
                    </a:xfrm>
                    <a:prstGeom prst="rect">
                      <a:avLst/>
                    </a:prstGeom>
                  </pic:spPr>
                </pic:pic>
              </a:graphicData>
            </a:graphic>
          </wp:inline>
        </w:drawing>
      </w:r>
    </w:p>
    <w:p>
      <w:pPr>
        <w:pStyle w:val="0"/>
        <w:rPr>
          <w:rFonts w:hint="default" w:ascii="HG丸ｺﾞｼｯｸM-PRO" w:hAnsi="HG丸ｺﾞｼｯｸM-PRO" w:eastAsia="HG丸ｺﾞｼｯｸM-PRO"/>
          <w:sz w:val="22"/>
        </w:rPr>
      </w:pPr>
    </w:p>
    <w:p>
      <w:pPr>
        <w:pStyle w:val="0"/>
        <w:rPr>
          <w:rFonts w:hint="default" w:ascii="HG丸ｺﾞｼｯｸM-PRO" w:hAnsi="HG丸ｺﾞｼｯｸM-PRO" w:eastAsia="HG丸ｺﾞｼｯｸM-PRO"/>
          <w:sz w:val="22"/>
        </w:rPr>
      </w:pPr>
      <w:r>
        <w:rPr>
          <w:rFonts w:hint="eastAsia"/>
        </w:rPr>
        <w:drawing>
          <wp:inline distT="0" distB="0" distL="203200" distR="203200">
            <wp:extent cx="5759450" cy="3761105"/>
            <wp:effectExtent l="0" t="0" r="0" b="0"/>
            <wp:docPr id="1121" name="オブジェクト 0"/>
            <a:graphic xmlns:a="http://schemas.openxmlformats.org/drawingml/2006/main">
              <a:graphicData uri="http://schemas.openxmlformats.org/drawingml/2006/picture">
                <pic:pic xmlns:pic="http://schemas.openxmlformats.org/drawingml/2006/picture">
                  <pic:nvPicPr>
                    <pic:cNvPr id="1121" name="オブジェクト 0"/>
                    <pic:cNvPicPr>
                      <a:picLocks noChangeAspect="1"/>
                    </pic:cNvPicPr>
                  </pic:nvPicPr>
                  <pic:blipFill>
                    <a:blip r:embed="rId58"/>
                    <a:stretch>
                      <a:fillRect/>
                    </a:stretch>
                  </pic:blipFill>
                  <pic:spPr>
                    <a:xfrm>
                      <a:off x="0" y="0"/>
                      <a:ext cx="5759450" cy="3761105"/>
                    </a:xfrm>
                    <a:prstGeom prst="rect">
                      <a:avLst/>
                    </a:prstGeom>
                  </pic:spPr>
                </pic:pic>
              </a:graphicData>
            </a:graphic>
          </wp:inline>
        </w:drawing>
      </w:r>
    </w:p>
    <w:p>
      <w:pPr>
        <w:pStyle w:val="0"/>
        <w:widowControl w:val="1"/>
        <w:jc w:val="left"/>
        <w:rPr>
          <w:rFonts w:hint="default" w:ascii="Century" w:hAnsi="Century" w:eastAsia="ＭＳ 明朝"/>
        </w:rPr>
      </w:pPr>
      <w:r>
        <w:rPr>
          <w:rFonts w:hint="eastAsia" w:ascii="HG丸ｺﾞｼｯｸM-PRO" w:hAnsi="HG丸ｺﾞｼｯｸM-PRO" w:eastAsia="HG丸ｺﾞｼｯｸM-PRO"/>
          <w:sz w:val="22"/>
        </w:rPr>
        <w:t>※数値については「岡山県ホームページ」を参照とした。</w:t>
      </w:r>
    </w:p>
    <w:p>
      <w:pPr>
        <w:pStyle w:val="0"/>
        <w:widowControl w:val="1"/>
        <w:jc w:val="center"/>
        <w:rPr>
          <w:rFonts w:hint="default" w:ascii="Century" w:hAnsi="Century" w:eastAsia="ＭＳ 明朝"/>
        </w:rPr>
      </w:pPr>
    </w:p>
    <w:p>
      <w:pPr>
        <w:pStyle w:val="0"/>
        <w:widowControl w:val="1"/>
        <w:jc w:val="center"/>
        <w:rPr>
          <w:rFonts w:hint="default" w:ascii="Century" w:hAnsi="Century" w:eastAsia="ＭＳ 明朝"/>
        </w:rPr>
      </w:pPr>
    </w:p>
    <w:p>
      <w:pPr>
        <w:pStyle w:val="0"/>
        <w:rPr>
          <w:rFonts w:hint="default" w:ascii="HG丸ｺﾞｼｯｸM-PRO" w:hAnsi="HG丸ｺﾞｼｯｸM-PRO" w:eastAsia="HG丸ｺﾞｼｯｸM-PRO"/>
          <w:sz w:val="32"/>
        </w:rPr>
      </w:pPr>
      <w:r>
        <w:rPr>
          <w:rFonts w:hint="eastAsia"/>
        </w:rPr>
        <w:br w:type="page"/>
      </w:r>
    </w:p>
    <w:p>
      <w:pPr>
        <w:pStyle w:val="0"/>
        <w:rPr>
          <w:rFonts w:hint="default" w:ascii="HG丸ｺﾞｼｯｸM-PRO" w:hAnsi="HG丸ｺﾞｼｯｸM-PRO" w:eastAsia="HG丸ｺﾞｼｯｸM-PRO"/>
          <w:sz w:val="32"/>
        </w:rPr>
      </w:pPr>
      <w:r>
        <w:rPr>
          <w:rFonts w:hint="eastAsia" w:ascii="HG丸ｺﾞｼｯｸM-PRO" w:hAnsi="HG丸ｺﾞｼｯｸM-PRO" w:eastAsia="HG丸ｺﾞｼｯｸM-PRO"/>
          <w:sz w:val="32"/>
        </w:rPr>
        <w:t>第５章　指標と実施状況</w:t>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この章では、津山市第２次環境基本計画及び津山市地球温暖化対策実行計画（区域施策編）で示した指標・目標値に対する</w:t>
      </w:r>
      <w:r>
        <w:rPr>
          <w:rFonts w:hint="eastAsia" w:ascii="HG丸ｺﾞｼｯｸM-PRO" w:hAnsi="HG丸ｺﾞｼｯｸM-PRO" w:eastAsia="HG丸ｺﾞｼｯｸM-PRO"/>
          <w:sz w:val="24"/>
          <w:highlight w:val="none"/>
        </w:rPr>
        <w:t>令和元</w:t>
      </w:r>
      <w:r>
        <w:rPr>
          <w:rFonts w:hint="eastAsia" w:ascii="HG丸ｺﾞｼｯｸM-PRO" w:hAnsi="HG丸ｺﾞｼｯｸM-PRO" w:eastAsia="HG丸ｺﾞｼｯｸM-PRO"/>
          <w:sz w:val="24"/>
        </w:rPr>
        <w:t>年度の実施状況、進捗状況を取りまとめています。</w:t>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sz w:val="24"/>
        </w:rPr>
        <w:t>2025</w:t>
      </w:r>
      <w:r>
        <w:rPr>
          <w:rFonts w:hint="eastAsia" w:ascii="HG丸ｺﾞｼｯｸM-PRO" w:hAnsi="HG丸ｺﾞｼｯｸM-PRO" w:eastAsia="HG丸ｺﾞｼｯｸM-PRO"/>
          <w:sz w:val="24"/>
        </w:rPr>
        <w:t>年度（目標値）目標値の達成に向け、現状分析を行なうとともに、引き続き各施策に取り組みます。</w:t>
      </w:r>
    </w:p>
    <w:p>
      <w:pPr>
        <w:pStyle w:val="0"/>
        <w:rPr>
          <w:rFonts w:hint="default" w:ascii="HG丸ｺﾞｼｯｸM-PRO" w:hAnsi="HG丸ｺﾞｼｯｸM-PRO" w:eastAsia="HG丸ｺﾞｼｯｸM-PRO"/>
          <w:sz w:val="24"/>
        </w:rPr>
      </w:pPr>
    </w:p>
    <w:p>
      <w:pPr>
        <w:pStyle w:val="0"/>
        <w:widowControl w:val="1"/>
        <w:jc w:val="left"/>
        <w:rPr>
          <w:rFonts w:hint="default" w:ascii="Century" w:hAnsi="Century" w:eastAsia="ＭＳ 明朝"/>
        </w:rPr>
      </w:pPr>
    </w:p>
    <w:p>
      <w:pPr>
        <w:pStyle w:val="0"/>
        <w:ind w:left="210" w:leftChars="100" w:firstLine="210" w:firstLineChars="100"/>
        <w:rPr>
          <w:rFonts w:hint="default" w:ascii="ＭＳ 明朝" w:hAnsi="ＭＳ 明朝"/>
        </w:rPr>
      </w:pPr>
      <w:r>
        <w:rPr>
          <w:rFonts w:hint="eastAsia"/>
        </w:rPr>
        <mc:AlternateContent>
          <mc:Choice Requires="wps">
            <w:drawing>
              <wp:anchor distT="0" distB="0" distL="114300" distR="114300" simplePos="0" relativeHeight="58" behindDoc="0" locked="0" layoutInCell="1" hidden="0" allowOverlap="1">
                <wp:simplePos x="0" y="0"/>
                <wp:positionH relativeFrom="column">
                  <wp:posOffset>609600</wp:posOffset>
                </wp:positionH>
                <wp:positionV relativeFrom="paragraph">
                  <wp:posOffset>61595</wp:posOffset>
                </wp:positionV>
                <wp:extent cx="3257550" cy="304800"/>
                <wp:effectExtent l="635" t="635" r="635" b="635"/>
                <wp:wrapNone/>
                <wp:docPr id="1122" name="四角形: 角を丸くする 27"/>
                <a:graphic xmlns:a="http://schemas.openxmlformats.org/drawingml/2006/main">
                  <a:graphicData uri="http://schemas.microsoft.com/office/word/2010/wordprocessingShape">
                    <wps:wsp>
                      <wps:cNvPr id="1122" name="四角形: 角を丸くする 27"/>
                      <wps:cNvSpPr/>
                      <wps:spPr>
                        <a:xfrm>
                          <a:off x="0" y="0"/>
                          <a:ext cx="3257550" cy="304800"/>
                        </a:xfrm>
                        <a:prstGeom prst="roundRect">
                          <a:avLst>
                            <a:gd name="adj" fmla="val 50000"/>
                          </a:avLst>
                        </a:prstGeom>
                        <a:solidFill>
                          <a:srgbClr val="FF8B8B"/>
                        </a:solidFill>
                        <a:ln w="12700" cap="flat" cmpd="sng" algn="ctr">
                          <a:noFill/>
                          <a:prstDash val="solid"/>
                          <a:miter lim="800000"/>
                        </a:ln>
                        <a:effectLst/>
                      </wps:spPr>
                      <wps:txbx>
                        <w:txbxContent>
                          <w:p>
                            <w:pPr>
                              <w:pStyle w:val="0"/>
                              <w:snapToGrid w:val="0"/>
                              <w:ind w:left="210" w:leftChars="100"/>
                              <w:jc w:val="center"/>
                              <w:rPr>
                                <w:rFonts w:hint="default" w:ascii="HG丸ｺﾞｼｯｸM-PRO" w:hAnsi="HG丸ｺﾞｼｯｸM-PRO" w:eastAsia="HG丸ｺﾞｼｯｸM-PRO"/>
                                <w:b w:val="1"/>
                                <w:color w:val="FFFFFF" w:themeColor="background1"/>
                              </w:rPr>
                            </w:pPr>
                            <w:r>
                              <w:rPr>
                                <w:rFonts w:hint="eastAsia" w:ascii="HG丸ｺﾞｼｯｸM-PRO" w:hAnsi="HG丸ｺﾞｼｯｸM-PRO" w:eastAsia="HG丸ｺﾞｼｯｸM-PRO"/>
                                <w:b w:val="1"/>
                                <w:color w:val="FFFFFF" w:themeColor="background1"/>
                              </w:rPr>
                              <w:t>市民の取り組み</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27" style="mso-wrap-distance-right:9pt;mso-wrap-distance-bottom:0pt;margin-top:4.84pt;mso-position-vertical-relative:text;mso-position-horizontal-relative:text;v-text-anchor:middle;position:absolute;height:24pt;mso-wrap-distance-top:0pt;width:256.5pt;mso-wrap-distance-left:9pt;margin-left:48pt;z-index:58;" o:spid="_x0000_s1122" o:allowincell="t" o:allowoverlap="t" filled="t" fillcolor="#ff8b8b" stroked="f" strokeweight="1pt" o:spt="2" arcsize="32768f">
                <v:fill/>
                <v:stroke linestyle="single" miterlimit="8" endcap="flat" dashstyle="solid"/>
                <v:textbox style="layout-flow:horizontal;" inset="0mm,0mm,0mm,0mm">
                  <w:txbxContent>
                    <w:p>
                      <w:pPr>
                        <w:pStyle w:val="0"/>
                        <w:snapToGrid w:val="0"/>
                        <w:ind w:left="210" w:leftChars="100"/>
                        <w:jc w:val="center"/>
                        <w:rPr>
                          <w:rFonts w:hint="default" w:ascii="HG丸ｺﾞｼｯｸM-PRO" w:hAnsi="HG丸ｺﾞｼｯｸM-PRO" w:eastAsia="HG丸ｺﾞｼｯｸM-PRO"/>
                          <w:b w:val="1"/>
                          <w:color w:val="FFFFFF" w:themeColor="background1"/>
                        </w:rPr>
                      </w:pPr>
                      <w:r>
                        <w:rPr>
                          <w:rFonts w:hint="eastAsia" w:ascii="HG丸ｺﾞｼｯｸM-PRO" w:hAnsi="HG丸ｺﾞｼｯｸM-PRO" w:eastAsia="HG丸ｺﾞｼｯｸM-PRO"/>
                          <w:b w:val="1"/>
                          <w:color w:val="FFFFFF" w:themeColor="background1"/>
                        </w:rPr>
                        <w:t>市民の取り組み</w:t>
                      </w:r>
                    </w:p>
                  </w:txbxContent>
                </v:textbox>
                <v:imagedata o:title=""/>
                <w10:wrap type="none" anchorx="text" anchory="text"/>
              </v:roundrect>
            </w:pict>
          </mc:Fallback>
        </mc:AlternateContent>
      </w:r>
    </w:p>
    <w:tbl>
      <w:tblPr>
        <w:tblStyle w:val="34"/>
        <w:tblpPr w:leftFromText="0" w:rightFromText="0" w:topFromText="0" w:bottomFromText="0" w:vertAnchor="text" w:horzAnchor="margin" w:tblpXSpec="center" w:tblpY="419"/>
        <w:tblOverlap w:val="never"/>
        <w:tblW w:w="0" w:type="auto"/>
        <w:tblBorders>
          <w:top w:val="single" w:color="FABF8F" w:themeColor="accent6" w:themeTint="99" w:sz="6" w:space="0"/>
          <w:left w:val="single" w:color="FABF8F" w:themeColor="accent6" w:themeTint="99" w:sz="6" w:space="0"/>
          <w:bottom w:val="single" w:color="FABF8F" w:themeColor="accent6" w:themeTint="99" w:sz="6" w:space="0"/>
          <w:right w:val="single" w:color="FABF8F" w:themeColor="accent6" w:themeTint="99" w:sz="6" w:space="0"/>
          <w:insideH w:val="single" w:color="FABF8F" w:themeColor="accent6" w:themeTint="99" w:sz="6" w:space="0"/>
          <w:insideV w:val="single" w:color="FABF8F" w:themeColor="accent6" w:themeTint="99" w:sz="6" w:space="0"/>
        </w:tblBorders>
        <w:tblLayout w:type="fixed"/>
        <w:tblLook w:firstRow="1" w:lastRow="0" w:firstColumn="0" w:lastColumn="0" w:noHBand="1" w:noVBand="1" w:val="0620"/>
      </w:tblPr>
      <w:tblGrid>
        <w:gridCol w:w="8775"/>
      </w:tblGrid>
      <w:tr>
        <w:trPr>
          <w:trHeight w:val="706" w:hRule="atLeast"/>
        </w:trPr>
        <w:tc>
          <w:tcPr>
            <w:tcW w:w="8775" w:type="dxa"/>
            <w:shd w:val="clear" w:color="auto" w:themeFill="accent6"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温暖化問題への関心、理解、意識醸成</w:t>
            </w:r>
          </w:p>
          <w:p>
            <w:pPr>
              <w:pStyle w:val="0"/>
              <w:jc w:val="center"/>
              <w:rPr>
                <w:rFonts w:hint="default" w:asciiTheme="majorEastAsia" w:hAnsiTheme="majorEastAsia" w:eastAsiaTheme="majorEastAsia"/>
              </w:rPr>
            </w:pPr>
            <w:r>
              <w:rPr>
                <w:rFonts w:hint="eastAsia" w:asciiTheme="majorEastAsia" w:hAnsiTheme="majorEastAsia" w:eastAsiaTheme="majorEastAsia"/>
              </w:rPr>
              <w:t>（主に家庭部門・運輸部門・廃棄物分野における取り組み）</w:t>
            </w:r>
          </w:p>
        </w:tc>
      </w:tr>
      <w:tr>
        <w:trPr>
          <w:trHeight w:val="9704" w:hRule="atLeast"/>
        </w:trPr>
        <w:tc>
          <w:tcPr>
            <w:tcW w:w="8775" w:type="dxa"/>
            <w:vAlign w:val="top"/>
          </w:tcPr>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【指標】</w:t>
            </w:r>
          </w:p>
          <w:p>
            <w:pPr>
              <w:pStyle w:val="0"/>
              <w:spacing w:line="320" w:lineRule="exact"/>
              <w:ind w:left="210" w:leftChars="100"/>
              <w:rPr>
                <w:rFonts w:hint="default" w:asciiTheme="majorEastAsia" w:hAnsiTheme="majorEastAsia" w:eastAsiaTheme="majorEastAsia"/>
              </w:rPr>
            </w:pPr>
            <w:r>
              <w:rPr>
                <w:rFonts w:hint="eastAsia" w:asciiTheme="majorEastAsia" w:hAnsiTheme="majorEastAsia" w:eastAsiaTheme="majorEastAsia"/>
              </w:rPr>
              <w:t>○省エネ行動実践率（クールビズ）</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2016</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54.1</w:t>
                  </w:r>
                  <w:r>
                    <w:rPr>
                      <w:rFonts w:hint="eastAsia" w:asciiTheme="majorEastAsia" w:hAnsiTheme="majorEastAsia" w:eastAsiaTheme="majorEastAsia"/>
                    </w:rPr>
                    <w:t>％</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93.3</w:t>
                  </w:r>
                  <w:r>
                    <w:rPr>
                      <w:rFonts w:hint="eastAsia" w:asciiTheme="majorEastAsia" w:hAnsiTheme="majorEastAsia" w:eastAsiaTheme="majorEastAsia"/>
                    </w:rPr>
                    <w:t>％</w:t>
                  </w:r>
                </w:p>
              </w:tc>
            </w:tr>
          </w:tbl>
          <w:p>
            <w:pPr>
              <w:pStyle w:val="0"/>
              <w:spacing w:line="320" w:lineRule="exact"/>
              <w:ind w:left="210" w:leftChars="100" w:firstLine="210" w:firstLineChars="100"/>
              <w:rPr>
                <w:rFonts w:hint="default" w:asciiTheme="majorEastAsia" w:hAnsiTheme="majorEastAsia" w:eastAsiaTheme="majorEastAsia"/>
              </w:rPr>
            </w:pPr>
            <w:r>
              <w:rPr>
                <w:rFonts w:hint="eastAsia" w:asciiTheme="majorEastAsia" w:hAnsiTheme="majorEastAsia" w:eastAsiaTheme="majorEastAsia"/>
              </w:rPr>
              <w:t>※アンケート未実施のため、数値なし</w:t>
            </w:r>
          </w:p>
          <w:p>
            <w:pPr>
              <w:pStyle w:val="0"/>
              <w:spacing w:line="320" w:lineRule="exact"/>
              <w:ind w:left="210" w:leftChars="100"/>
              <w:rPr>
                <w:rFonts w:hint="default" w:asciiTheme="majorEastAsia" w:hAnsiTheme="majorEastAsia" w:eastAsiaTheme="majorEastAsia"/>
              </w:rPr>
            </w:pPr>
          </w:p>
          <w:p>
            <w:pPr>
              <w:pStyle w:val="0"/>
              <w:spacing w:line="320" w:lineRule="exact"/>
              <w:ind w:left="210" w:leftChars="100"/>
              <w:rPr>
                <w:rFonts w:hint="default" w:asciiTheme="majorEastAsia" w:hAnsiTheme="majorEastAsia" w:eastAsiaTheme="majorEastAsia"/>
              </w:rPr>
            </w:pPr>
            <w:r>
              <w:rPr>
                <w:rFonts w:hint="eastAsia" w:asciiTheme="majorEastAsia" w:hAnsiTheme="majorEastAsia" w:eastAsiaTheme="majorEastAsia"/>
              </w:rPr>
              <w:t>○省エネ行動実践率（ウォームビズ）</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2016</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38.1</w:t>
                  </w:r>
                  <w:r>
                    <w:rPr>
                      <w:rFonts w:hint="eastAsia" w:asciiTheme="majorEastAsia" w:hAnsiTheme="majorEastAsia" w:eastAsiaTheme="majorEastAsia"/>
                    </w:rPr>
                    <w:t>％</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94.5</w:t>
                  </w:r>
                  <w:r>
                    <w:rPr>
                      <w:rFonts w:hint="eastAsia" w:asciiTheme="majorEastAsia" w:hAnsiTheme="majorEastAsia" w:eastAsiaTheme="majorEastAsia"/>
                    </w:rPr>
                    <w:t>％</w:t>
                  </w:r>
                </w:p>
              </w:tc>
            </w:tr>
          </w:tbl>
          <w:p>
            <w:pPr>
              <w:pStyle w:val="0"/>
              <w:spacing w:line="320" w:lineRule="exact"/>
              <w:rPr>
                <w:rFonts w:hint="default" w:asciiTheme="majorEastAsia" w:hAnsiTheme="majorEastAsia" w:eastAsiaTheme="majorEastAsia"/>
              </w:rPr>
            </w:pPr>
            <w:r>
              <w:rPr>
                <w:rFonts w:hint="eastAsia" w:asciiTheme="majorEastAsia" w:hAnsiTheme="majorEastAsia" w:eastAsiaTheme="majorEastAsia"/>
              </w:rPr>
              <w:t>　　※アンケート未実施のため、数値なし</w:t>
            </w:r>
          </w:p>
          <w:p>
            <w:pPr>
              <w:pStyle w:val="0"/>
              <w:spacing w:line="320" w:lineRule="exact"/>
              <w:rPr>
                <w:rFonts w:hint="default" w:asciiTheme="majorEastAsia" w:hAnsiTheme="majorEastAsia" w:eastAsiaTheme="majorEastAsia"/>
              </w:rPr>
            </w:pPr>
          </w:p>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　○公共交通の利用者数（バス利用者数）</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2014</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514,728</w:t>
                  </w:r>
                  <w:r>
                    <w:rPr>
                      <w:rFonts w:hint="eastAsia" w:asciiTheme="majorEastAsia" w:hAnsiTheme="majorEastAsia" w:eastAsiaTheme="majorEastAsia"/>
                    </w:rPr>
                    <w:t>人</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445,502</w:t>
                  </w:r>
                  <w:r>
                    <w:rPr>
                      <w:rFonts w:hint="eastAsia" w:asciiTheme="majorEastAsia" w:hAnsiTheme="majorEastAsia" w:eastAsiaTheme="majorEastAsia"/>
                    </w:rPr>
                    <w:t>人</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535,000</w:t>
                  </w:r>
                  <w:r>
                    <w:rPr>
                      <w:rFonts w:hint="eastAsia" w:asciiTheme="majorEastAsia" w:hAnsiTheme="majorEastAsia" w:eastAsiaTheme="majorEastAsia"/>
                    </w:rPr>
                    <w:t>人</w:t>
                  </w:r>
                </w:p>
              </w:tc>
            </w:tr>
          </w:tbl>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　　</w:t>
            </w:r>
          </w:p>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　○公共交通の利用者数（</w:t>
            </w:r>
            <w:r>
              <w:rPr>
                <w:rFonts w:hint="eastAsia" w:asciiTheme="majorEastAsia" w:hAnsiTheme="majorEastAsia" w:eastAsiaTheme="majorEastAsia"/>
              </w:rPr>
              <w:t>JR</w:t>
            </w:r>
            <w:r>
              <w:rPr>
                <w:rFonts w:hint="eastAsia" w:asciiTheme="majorEastAsia" w:hAnsiTheme="majorEastAsia" w:eastAsiaTheme="majorEastAsia"/>
              </w:rPr>
              <w:t>利用者数）</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2013</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805,488</w:t>
                  </w:r>
                  <w:r>
                    <w:rPr>
                      <w:rFonts w:hint="eastAsia" w:asciiTheme="majorEastAsia" w:hAnsiTheme="majorEastAsia" w:eastAsiaTheme="majorEastAsia"/>
                    </w:rPr>
                    <w:t>人</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722,100</w:t>
                  </w:r>
                  <w:r>
                    <w:rPr>
                      <w:rFonts w:hint="eastAsia" w:asciiTheme="majorEastAsia" w:hAnsiTheme="majorEastAsia" w:eastAsiaTheme="majorEastAsia"/>
                    </w:rPr>
                    <w:t>人</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794,000</w:t>
                  </w:r>
                  <w:r>
                    <w:rPr>
                      <w:rFonts w:hint="eastAsia" w:asciiTheme="majorEastAsia" w:hAnsiTheme="majorEastAsia" w:eastAsiaTheme="majorEastAsia"/>
                    </w:rPr>
                    <w:t>人</w:t>
                  </w:r>
                </w:p>
              </w:tc>
            </w:tr>
          </w:tbl>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t>　○市民一人一日あたりのごみの排出量</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2014</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899g</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939</w:t>
                  </w:r>
                  <w:r>
                    <w:rPr>
                      <w:rFonts w:hint="eastAsia" w:asciiTheme="majorEastAsia" w:hAnsiTheme="majorEastAsia" w:eastAsiaTheme="majorEastAsia"/>
                    </w:rPr>
                    <w:t>g</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872g</w:t>
                  </w:r>
                </w:p>
              </w:tc>
            </w:tr>
          </w:tbl>
          <w:p>
            <w:pPr>
              <w:pStyle w:val="0"/>
              <w:rPr>
                <w:rFonts w:hint="default" w:asciiTheme="majorEastAsia" w:hAnsiTheme="majorEastAsia" w:eastAsiaTheme="majorEastAsia"/>
              </w:rPr>
            </w:pPr>
            <w:r>
              <w:rPr>
                <w:rFonts w:hint="eastAsia" w:asciiTheme="majorEastAsia" w:hAnsiTheme="majorEastAsia" w:eastAsiaTheme="majorEastAsia"/>
              </w:rPr>
              <w:t>　　</w:t>
            </w:r>
          </w:p>
          <w:p>
            <w:pPr>
              <w:pStyle w:val="0"/>
              <w:rPr>
                <w:rFonts w:hint="default" w:asciiTheme="majorEastAsia" w:hAnsiTheme="majorEastAsia" w:eastAsiaTheme="majorEastAsia"/>
              </w:rPr>
            </w:pPr>
            <w:r>
              <w:rPr>
                <w:rFonts w:hint="eastAsia" w:asciiTheme="majorEastAsia" w:hAnsiTheme="majorEastAsia" w:eastAsiaTheme="majorEastAsia"/>
              </w:rPr>
              <w:t>　○中心市街地の歩行者・自転車通行量</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2013</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8,498</w:t>
                  </w:r>
                  <w:r>
                    <w:rPr>
                      <w:rFonts w:hint="eastAsia" w:asciiTheme="majorEastAsia" w:hAnsiTheme="majorEastAsia" w:eastAsiaTheme="majorEastAsia"/>
                    </w:rPr>
                    <w:t>人</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11,406</w:t>
                  </w:r>
                  <w:r>
                    <w:rPr>
                      <w:rFonts w:hint="eastAsia" w:asciiTheme="majorEastAsia" w:hAnsiTheme="majorEastAsia" w:eastAsiaTheme="majorEastAsia"/>
                    </w:rPr>
                    <w:t>人</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9,200</w:t>
                  </w:r>
                  <w:r>
                    <w:rPr>
                      <w:rFonts w:hint="eastAsia" w:asciiTheme="majorEastAsia" w:hAnsiTheme="majorEastAsia" w:eastAsiaTheme="majorEastAsia"/>
                    </w:rPr>
                    <w:t>人</w:t>
                  </w:r>
                </w:p>
              </w:tc>
            </w:tr>
          </w:tbl>
          <w:p>
            <w:pPr>
              <w:pStyle w:val="0"/>
              <w:rPr>
                <w:rFonts w:hint="default" w:asciiTheme="majorEastAsia" w:hAnsiTheme="majorEastAsia" w:eastAsiaTheme="majorEastAsia"/>
              </w:rPr>
            </w:pPr>
          </w:p>
        </w:tc>
      </w:tr>
    </w:tbl>
    <w:p>
      <w:pPr>
        <w:pStyle w:val="0"/>
        <w:ind w:left="210" w:leftChars="100" w:firstLine="210" w:firstLineChars="100"/>
        <w:rPr>
          <w:rFonts w:hint="default" w:asciiTheme="majorEastAsia" w:hAnsiTheme="majorEastAsia" w:eastAsiaTheme="majorEastAsia"/>
        </w:rPr>
      </w:pPr>
    </w:p>
    <w:tbl>
      <w:tblPr>
        <w:tblStyle w:val="34"/>
        <w:tblW w:w="9048" w:type="dxa"/>
        <w:jc w:val="center"/>
        <w:tblInd w:w="0" w:type="dxa"/>
        <w:tblBorders>
          <w:top w:val="single" w:color="FABF8F" w:themeColor="accent6" w:themeTint="99" w:sz="6" w:space="0"/>
          <w:left w:val="single" w:color="FABF8F" w:themeColor="accent6" w:themeTint="99" w:sz="6" w:space="0"/>
          <w:bottom w:val="single" w:color="FABF8F" w:themeColor="accent6" w:themeTint="99" w:sz="6" w:space="0"/>
          <w:right w:val="single" w:color="FABF8F" w:themeColor="accent6" w:themeTint="99" w:sz="6" w:space="0"/>
          <w:insideH w:val="single" w:color="FABF8F" w:themeColor="accent6" w:themeTint="99" w:sz="6" w:space="0"/>
          <w:insideV w:val="single" w:color="FABF8F" w:themeColor="accent6" w:themeTint="99" w:sz="6" w:space="0"/>
        </w:tblBorders>
        <w:tblLayout w:type="fixed"/>
        <w:tblLook w:firstRow="1" w:lastRow="0" w:firstColumn="0" w:lastColumn="0" w:noHBand="1" w:noVBand="1" w:val="0620"/>
      </w:tblPr>
      <w:tblGrid>
        <w:gridCol w:w="9048"/>
      </w:tblGrid>
      <w:tr>
        <w:trPr>
          <w:trHeight w:val="375" w:hRule="atLeast"/>
        </w:trPr>
        <w:tc>
          <w:tcPr>
            <w:tcW w:w="9048" w:type="dxa"/>
            <w:shd w:val="clear" w:color="auto" w:themeFill="accent6"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再生可能エネルギーの利用、省エネ機器等の選択</w:t>
            </w:r>
          </w:p>
          <w:p>
            <w:pPr>
              <w:pStyle w:val="0"/>
              <w:jc w:val="center"/>
              <w:rPr>
                <w:rFonts w:hint="default" w:asciiTheme="majorEastAsia" w:hAnsiTheme="majorEastAsia" w:eastAsiaTheme="majorEastAsia"/>
              </w:rPr>
            </w:pPr>
            <w:r>
              <w:rPr>
                <w:rFonts w:hint="eastAsia" w:asciiTheme="majorEastAsia" w:hAnsiTheme="majorEastAsia" w:eastAsiaTheme="majorEastAsia"/>
              </w:rPr>
              <w:t>（主に家庭部門における取り組み）</w:t>
            </w:r>
          </w:p>
        </w:tc>
      </w:tr>
      <w:tr>
        <w:trPr>
          <w:trHeight w:val="12001" w:hRule="atLeast"/>
        </w:trPr>
        <w:tc>
          <w:tcPr>
            <w:tcW w:w="9048" w:type="dxa"/>
            <w:vAlign w:val="top"/>
          </w:tcPr>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【指標】</w:t>
            </w:r>
          </w:p>
          <w:p>
            <w:pPr>
              <w:pStyle w:val="0"/>
              <w:spacing w:line="320" w:lineRule="exact"/>
              <w:ind w:left="210" w:leftChars="100"/>
              <w:rPr>
                <w:rFonts w:hint="default" w:asciiTheme="majorEastAsia" w:hAnsiTheme="majorEastAsia" w:eastAsiaTheme="majorEastAsia"/>
              </w:rPr>
            </w:pPr>
            <w:r>
              <w:rPr>
                <w:rFonts w:hint="eastAsia" w:asciiTheme="majorEastAsia" w:hAnsiTheme="majorEastAsia" w:eastAsiaTheme="majorEastAsia"/>
              </w:rPr>
              <w:t>○市民協働発電所の設置数及び設備容量</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2014</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0</w:t>
                  </w:r>
                  <w:r>
                    <w:rPr>
                      <w:rFonts w:hint="eastAsia" w:asciiTheme="majorEastAsia" w:hAnsiTheme="majorEastAsia" w:eastAsiaTheme="majorEastAsia"/>
                    </w:rPr>
                    <w:t>か所</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4</w:t>
                  </w:r>
                  <w:r>
                    <w:rPr>
                      <w:rFonts w:hint="eastAsia" w:asciiTheme="majorEastAsia" w:hAnsiTheme="majorEastAsia" w:eastAsiaTheme="majorEastAsia"/>
                    </w:rPr>
                    <w:t>か所（</w:t>
                  </w:r>
                  <w:r>
                    <w:rPr>
                      <w:rFonts w:hint="eastAsia" w:asciiTheme="majorEastAsia" w:hAnsiTheme="majorEastAsia" w:eastAsiaTheme="majorEastAsia"/>
                    </w:rPr>
                    <w:t>90.6kW</w:t>
                  </w:r>
                  <w:r>
                    <w:rPr>
                      <w:rFonts w:hint="eastAsia" w:asciiTheme="majorEastAsia" w:hAnsiTheme="majorEastAsia" w:eastAsiaTheme="majorEastAsia"/>
                    </w:rPr>
                    <w:t>）</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6</w:t>
                  </w:r>
                  <w:r>
                    <w:rPr>
                      <w:rFonts w:hint="eastAsia" w:asciiTheme="majorEastAsia" w:hAnsiTheme="majorEastAsia" w:eastAsiaTheme="majorEastAsia"/>
                    </w:rPr>
                    <w:t>か所（</w:t>
                  </w:r>
                  <w:r>
                    <w:rPr>
                      <w:rFonts w:hint="eastAsia" w:asciiTheme="majorEastAsia" w:hAnsiTheme="majorEastAsia" w:eastAsiaTheme="majorEastAsia"/>
                    </w:rPr>
                    <w:t>137.4kW</w:t>
                  </w:r>
                  <w:r>
                    <w:rPr>
                      <w:rFonts w:hint="eastAsia" w:asciiTheme="majorEastAsia" w:hAnsiTheme="majorEastAsia" w:eastAsiaTheme="majorEastAsia"/>
                    </w:rPr>
                    <w:t>）</w:t>
                  </w:r>
                </w:p>
              </w:tc>
            </w:tr>
          </w:tbl>
          <w:p>
            <w:pPr>
              <w:pStyle w:val="0"/>
              <w:spacing w:line="320" w:lineRule="exact"/>
              <w:ind w:left="210" w:leftChars="100"/>
              <w:rPr>
                <w:rFonts w:hint="default" w:asciiTheme="majorEastAsia" w:hAnsiTheme="majorEastAsia" w:eastAsiaTheme="majorEastAsia"/>
              </w:rPr>
            </w:pP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○再生可能エネルギー導入による温室効果ガス削減量</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2013</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22</w:t>
                  </w:r>
                  <w:r>
                    <w:rPr>
                      <w:rFonts w:hint="eastAsia" w:asciiTheme="majorEastAsia" w:hAnsiTheme="majorEastAsia" w:eastAsiaTheme="majorEastAsia"/>
                    </w:rPr>
                    <w:t>千</w:t>
                  </w:r>
                  <w:r>
                    <w:rPr>
                      <w:rFonts w:hint="eastAsia" w:asciiTheme="majorEastAsia" w:hAnsiTheme="majorEastAsia" w:eastAsiaTheme="majorEastAsia"/>
                    </w:rPr>
                    <w:t>t-CO</w:t>
                  </w:r>
                  <w:r>
                    <w:rPr>
                      <w:rFonts w:hint="eastAsia" w:asciiTheme="majorEastAsia" w:hAnsiTheme="majorEastAsia" w:eastAsiaTheme="majorEastAsia"/>
                    </w:rPr>
                    <w:t>₂</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81</w:t>
                  </w:r>
                  <w:r>
                    <w:rPr>
                      <w:rFonts w:hint="eastAsia" w:asciiTheme="majorEastAsia" w:hAnsiTheme="majorEastAsia" w:eastAsiaTheme="majorEastAsia"/>
                    </w:rPr>
                    <w:t>千</w:t>
                  </w:r>
                  <w:r>
                    <w:rPr>
                      <w:rFonts w:hint="eastAsia" w:asciiTheme="majorEastAsia" w:hAnsiTheme="majorEastAsia" w:eastAsiaTheme="majorEastAsia"/>
                    </w:rPr>
                    <w:t>t-CO</w:t>
                  </w:r>
                  <w:r>
                    <w:rPr>
                      <w:rFonts w:hint="eastAsia" w:asciiTheme="majorEastAsia" w:hAnsiTheme="majorEastAsia" w:eastAsiaTheme="majorEastAsia"/>
                    </w:rPr>
                    <w:t>₂</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59.9</w:t>
                  </w:r>
                  <w:r>
                    <w:rPr>
                      <w:rFonts w:hint="eastAsia" w:asciiTheme="majorEastAsia" w:hAnsiTheme="majorEastAsia" w:eastAsiaTheme="majorEastAsia"/>
                    </w:rPr>
                    <w:t>千</w:t>
                  </w:r>
                  <w:r>
                    <w:rPr>
                      <w:rFonts w:hint="eastAsia" w:asciiTheme="majorEastAsia" w:hAnsiTheme="majorEastAsia" w:eastAsiaTheme="majorEastAsia"/>
                    </w:rPr>
                    <w:t>t-CO</w:t>
                  </w:r>
                  <w:r>
                    <w:rPr>
                      <w:rFonts w:hint="eastAsia" w:asciiTheme="majorEastAsia" w:hAnsiTheme="majorEastAsia" w:eastAsiaTheme="majorEastAsia"/>
                    </w:rPr>
                    <w:t>₂</w:t>
                  </w:r>
                </w:p>
              </w:tc>
            </w:tr>
          </w:tbl>
          <w:p>
            <w:pPr>
              <w:pStyle w:val="0"/>
              <w:spacing w:line="320" w:lineRule="exact"/>
              <w:ind w:left="210" w:leftChars="100"/>
              <w:rPr>
                <w:rFonts w:hint="default" w:asciiTheme="majorEastAsia" w:hAnsiTheme="majorEastAsia" w:eastAsiaTheme="majorEastAsia"/>
              </w:rPr>
            </w:pPr>
            <w:r>
              <w:rPr>
                <w:rFonts w:hint="eastAsia" w:asciiTheme="majorEastAsia" w:hAnsiTheme="majorEastAsia" w:eastAsiaTheme="majorEastAsia"/>
              </w:rPr>
              <w:t>　※津山市全体で把握を行います（事業者の取り組みと重複）。</w:t>
            </w:r>
          </w:p>
          <w:p>
            <w:pPr>
              <w:pStyle w:val="0"/>
              <w:spacing w:line="320" w:lineRule="exact"/>
              <w:ind w:left="210" w:leftChars="100"/>
              <w:rPr>
                <w:rFonts w:hint="default" w:asciiTheme="majorEastAsia" w:hAnsiTheme="majorEastAsia" w:eastAsiaTheme="majorEastAsia"/>
              </w:rPr>
            </w:pPr>
          </w:p>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　○太陽光発電システムの設置支援件数及び設備容量</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2014</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630</w:t>
                  </w:r>
                  <w:r>
                    <w:rPr>
                      <w:rFonts w:hint="eastAsia" w:asciiTheme="majorEastAsia" w:hAnsiTheme="majorEastAsia" w:eastAsiaTheme="majorEastAsia"/>
                    </w:rPr>
                    <w:t>件（</w:t>
                  </w:r>
                  <w:r>
                    <w:rPr>
                      <w:rFonts w:hint="eastAsia" w:asciiTheme="majorEastAsia" w:hAnsiTheme="majorEastAsia" w:eastAsiaTheme="majorEastAsia"/>
                    </w:rPr>
                    <w:t>3,069kW</w:t>
                  </w:r>
                  <w:r>
                    <w:rPr>
                      <w:rFonts w:hint="eastAsia" w:asciiTheme="majorEastAsia" w:hAnsiTheme="majorEastAsia" w:eastAsiaTheme="majorEastAsia"/>
                    </w:rPr>
                    <w:t>）</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838</w:t>
                  </w:r>
                  <w:r>
                    <w:rPr>
                      <w:rFonts w:hint="eastAsia" w:asciiTheme="majorEastAsia" w:hAnsiTheme="majorEastAsia" w:eastAsiaTheme="majorEastAsia"/>
                    </w:rPr>
                    <w:t>件（</w:t>
                  </w:r>
                  <w:r>
                    <w:rPr>
                      <w:rFonts w:hint="eastAsia" w:asciiTheme="majorEastAsia" w:hAnsiTheme="majorEastAsia" w:eastAsiaTheme="majorEastAsia"/>
                      <w:highlight w:val="none"/>
                    </w:rPr>
                    <w:t>4,250</w:t>
                  </w:r>
                  <w:r>
                    <w:rPr>
                      <w:rFonts w:hint="eastAsia" w:asciiTheme="majorEastAsia" w:hAnsiTheme="majorEastAsia" w:eastAsiaTheme="majorEastAsia"/>
                    </w:rPr>
                    <w:t>kW</w:t>
                  </w:r>
                  <w:r>
                    <w:rPr>
                      <w:rFonts w:hint="eastAsia" w:asciiTheme="majorEastAsia" w:hAnsiTheme="majorEastAsia" w:eastAsiaTheme="majorEastAsia"/>
                    </w:rPr>
                    <w:t>）</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1,730</w:t>
                  </w:r>
                  <w:r>
                    <w:rPr>
                      <w:rFonts w:hint="eastAsia" w:asciiTheme="majorEastAsia" w:hAnsiTheme="majorEastAsia" w:eastAsiaTheme="majorEastAsia"/>
                    </w:rPr>
                    <w:t>件（</w:t>
                  </w:r>
                  <w:r>
                    <w:rPr>
                      <w:rFonts w:hint="eastAsia" w:asciiTheme="majorEastAsia" w:hAnsiTheme="majorEastAsia" w:eastAsiaTheme="majorEastAsia"/>
                    </w:rPr>
                    <w:t>8,619kW</w:t>
                  </w:r>
                  <w:r>
                    <w:rPr>
                      <w:rFonts w:hint="eastAsia" w:asciiTheme="majorEastAsia" w:hAnsiTheme="majorEastAsia" w:eastAsiaTheme="majorEastAsia"/>
                    </w:rPr>
                    <w:t>）</w:t>
                  </w:r>
                </w:p>
              </w:tc>
            </w:tr>
          </w:tbl>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　　</w:t>
            </w:r>
          </w:p>
          <w:p>
            <w:pPr>
              <w:pStyle w:val="0"/>
              <w:spacing w:line="320" w:lineRule="exact"/>
              <w:ind w:left="210" w:leftChars="100"/>
              <w:rPr>
                <w:rFonts w:hint="default" w:asciiTheme="majorEastAsia" w:hAnsiTheme="majorEastAsia" w:eastAsiaTheme="majorEastAsia"/>
              </w:rPr>
            </w:pPr>
            <w:r>
              <w:rPr>
                <w:rFonts w:hint="eastAsia" w:asciiTheme="majorEastAsia" w:hAnsiTheme="majorEastAsia" w:eastAsiaTheme="majorEastAsia"/>
              </w:rPr>
              <w:t>○太陽熱利用システムの設置支援件数</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2013</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0</w:t>
                  </w:r>
                  <w:r>
                    <w:rPr>
                      <w:rFonts w:hint="eastAsia" w:asciiTheme="majorEastAsia" w:hAnsiTheme="majorEastAsia" w:eastAsiaTheme="majorEastAsia"/>
                    </w:rPr>
                    <w:t>件</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33</w:t>
                  </w:r>
                  <w:r>
                    <w:rPr>
                      <w:rFonts w:hint="eastAsia" w:asciiTheme="majorEastAsia" w:hAnsiTheme="majorEastAsia" w:eastAsiaTheme="majorEastAsia"/>
                    </w:rPr>
                    <w:t>件</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400</w:t>
                  </w:r>
                  <w:r>
                    <w:rPr>
                      <w:rFonts w:hint="eastAsia" w:asciiTheme="majorEastAsia" w:hAnsiTheme="majorEastAsia" w:eastAsiaTheme="majorEastAsia"/>
                    </w:rPr>
                    <w:t>件</w:t>
                  </w:r>
                </w:p>
              </w:tc>
            </w:tr>
          </w:tbl>
          <w:p>
            <w:pPr>
              <w:pStyle w:val="0"/>
              <w:spacing w:line="320" w:lineRule="exact"/>
              <w:ind w:left="210" w:leftChars="100"/>
              <w:rPr>
                <w:rFonts w:hint="default" w:asciiTheme="majorEastAsia" w:hAnsiTheme="majorEastAsia" w:eastAsiaTheme="majorEastAsia"/>
              </w:rPr>
            </w:pPr>
          </w:p>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　○定置用リチウムイオン蓄電池の設置支援件数</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2013</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0</w:t>
                  </w:r>
                  <w:r>
                    <w:rPr>
                      <w:rFonts w:hint="eastAsia" w:asciiTheme="majorEastAsia" w:hAnsiTheme="majorEastAsia" w:eastAsiaTheme="majorEastAsia"/>
                    </w:rPr>
                    <w:t>件</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15</w:t>
                  </w:r>
                  <w:r>
                    <w:rPr>
                      <w:rFonts w:hint="eastAsia" w:asciiTheme="majorEastAsia" w:hAnsiTheme="majorEastAsia" w:eastAsiaTheme="majorEastAsia"/>
                    </w:rPr>
                    <w:t>件</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160</w:t>
                  </w:r>
                  <w:r>
                    <w:rPr>
                      <w:rFonts w:hint="eastAsia" w:asciiTheme="majorEastAsia" w:hAnsiTheme="majorEastAsia" w:eastAsiaTheme="majorEastAsia"/>
                    </w:rPr>
                    <w:t>件</w:t>
                  </w:r>
                </w:p>
              </w:tc>
            </w:tr>
          </w:tbl>
          <w:p>
            <w:pPr>
              <w:pStyle w:val="0"/>
              <w:spacing w:line="320" w:lineRule="exact"/>
              <w:ind w:left="210" w:hanging="210" w:hangingChars="10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t>　○超小型モビリティの購入支援件数</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2013</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0</w:t>
                  </w:r>
                  <w:r>
                    <w:rPr>
                      <w:rFonts w:hint="eastAsia" w:asciiTheme="majorEastAsia" w:hAnsiTheme="majorEastAsia" w:eastAsiaTheme="majorEastAsia"/>
                    </w:rPr>
                    <w:t>件</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3</w:t>
                  </w:r>
                  <w:r>
                    <w:rPr>
                      <w:rFonts w:hint="eastAsia" w:asciiTheme="majorEastAsia" w:hAnsiTheme="majorEastAsia" w:eastAsiaTheme="majorEastAsia"/>
                    </w:rPr>
                    <w:t>件</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24</w:t>
                  </w:r>
                  <w:r>
                    <w:rPr>
                      <w:rFonts w:hint="eastAsia" w:asciiTheme="majorEastAsia" w:hAnsiTheme="majorEastAsia" w:eastAsiaTheme="majorEastAsia"/>
                    </w:rPr>
                    <w:t>件</w:t>
                  </w:r>
                </w:p>
              </w:tc>
            </w:tr>
          </w:tbl>
          <w:p>
            <w:pPr>
              <w:pStyle w:val="0"/>
              <w:rPr>
                <w:rFonts w:hint="default" w:asciiTheme="majorEastAsia" w:hAnsiTheme="majorEastAsia" w:eastAsiaTheme="majorEastAsia"/>
              </w:rPr>
            </w:pPr>
          </w:p>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　○防犯灯の</w:t>
            </w:r>
            <w:r>
              <w:rPr>
                <w:rFonts w:hint="eastAsia" w:asciiTheme="majorEastAsia" w:hAnsiTheme="majorEastAsia" w:eastAsiaTheme="majorEastAsia"/>
              </w:rPr>
              <w:t>LED</w:t>
            </w:r>
            <w:r>
              <w:rPr>
                <w:rFonts w:hint="eastAsia" w:asciiTheme="majorEastAsia" w:hAnsiTheme="majorEastAsia" w:eastAsiaTheme="majorEastAsia"/>
              </w:rPr>
              <w:t>化率</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2014</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7</w:t>
                  </w:r>
                  <w:r>
                    <w:rPr>
                      <w:rFonts w:hint="eastAsia" w:asciiTheme="majorEastAsia" w:hAnsiTheme="majorEastAsia" w:eastAsiaTheme="majorEastAsia"/>
                    </w:rPr>
                    <w:t>％</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20</w:t>
                  </w:r>
                  <w:r>
                    <w:rPr>
                      <w:rFonts w:hint="eastAsia" w:asciiTheme="majorEastAsia" w:hAnsiTheme="majorEastAsia" w:eastAsiaTheme="majorEastAsia"/>
                    </w:rPr>
                    <w:t>％</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21</w:t>
                  </w:r>
                  <w:r>
                    <w:rPr>
                      <w:rFonts w:hint="eastAsia" w:asciiTheme="majorEastAsia" w:hAnsiTheme="majorEastAsia" w:eastAsiaTheme="majorEastAsia"/>
                    </w:rPr>
                    <w:t>％</w:t>
                  </w:r>
                </w:p>
              </w:tc>
            </w:tr>
          </w:tbl>
          <w:p>
            <w:pPr>
              <w:pStyle w:val="0"/>
              <w:spacing w:line="320" w:lineRule="exact"/>
              <w:rPr>
                <w:rFonts w:hint="default" w:asciiTheme="majorEastAsia" w:hAnsiTheme="majorEastAsia" w:eastAsiaTheme="majorEastAsia"/>
              </w:rPr>
            </w:pP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tbl>
      <w:tblPr>
        <w:tblStyle w:val="34"/>
        <w:tblW w:w="9078" w:type="dxa"/>
        <w:jc w:val="center"/>
        <w:tblInd w:w="0" w:type="dxa"/>
        <w:tblBorders>
          <w:top w:val="single" w:color="FABF8F" w:themeColor="accent6" w:themeTint="99" w:sz="6" w:space="0"/>
          <w:left w:val="single" w:color="FABF8F" w:themeColor="accent6" w:themeTint="99" w:sz="6" w:space="0"/>
          <w:bottom w:val="single" w:color="FABF8F" w:themeColor="accent6" w:themeTint="99" w:sz="6" w:space="0"/>
          <w:right w:val="single" w:color="FABF8F" w:themeColor="accent6" w:themeTint="99" w:sz="6" w:space="0"/>
          <w:insideH w:val="single" w:color="FABF8F" w:themeColor="accent6" w:themeTint="99" w:sz="6" w:space="0"/>
          <w:insideV w:val="single" w:color="FABF8F" w:themeColor="accent6" w:themeTint="99" w:sz="6" w:space="0"/>
        </w:tblBorders>
        <w:tblLayout w:type="fixed"/>
        <w:tblLook w:firstRow="1" w:lastRow="0" w:firstColumn="0" w:lastColumn="0" w:noHBand="1" w:noVBand="1" w:val="0620"/>
      </w:tblPr>
      <w:tblGrid>
        <w:gridCol w:w="9078"/>
      </w:tblGrid>
      <w:tr>
        <w:trPr>
          <w:trHeight w:val="371" w:hRule="atLeast"/>
        </w:trPr>
        <w:tc>
          <w:tcPr>
            <w:tcW w:w="9078" w:type="dxa"/>
            <w:shd w:val="clear" w:color="auto" w:themeFill="accent6"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温暖化対策事業等への参加</w:t>
            </w:r>
          </w:p>
          <w:p>
            <w:pPr>
              <w:pStyle w:val="0"/>
              <w:jc w:val="center"/>
              <w:rPr>
                <w:rFonts w:hint="default" w:asciiTheme="majorEastAsia" w:hAnsiTheme="majorEastAsia" w:eastAsiaTheme="majorEastAsia"/>
              </w:rPr>
            </w:pPr>
            <w:r>
              <w:rPr>
                <w:rFonts w:hint="eastAsia" w:asciiTheme="majorEastAsia" w:hAnsiTheme="majorEastAsia" w:eastAsiaTheme="majorEastAsia"/>
              </w:rPr>
              <w:t>（主に家庭部門における取り組み）</w:t>
            </w:r>
          </w:p>
        </w:tc>
      </w:tr>
      <w:tr>
        <w:trPr>
          <w:trHeight w:val="7181" w:hRule="atLeast"/>
        </w:trPr>
        <w:tc>
          <w:tcPr>
            <w:tcW w:w="9078" w:type="dxa"/>
            <w:vAlign w:val="top"/>
          </w:tcPr>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【指標】</w:t>
            </w:r>
          </w:p>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　○環境学習リーダー養成講座修了者</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2014</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3</w:t>
                  </w:r>
                  <w:r>
                    <w:rPr>
                      <w:rFonts w:hint="eastAsia" w:asciiTheme="majorEastAsia" w:hAnsiTheme="majorEastAsia" w:eastAsiaTheme="majorEastAsia"/>
                    </w:rPr>
                    <w:t>人</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7</w:t>
                  </w:r>
                  <w:r>
                    <w:rPr>
                      <w:rFonts w:hint="eastAsia" w:asciiTheme="majorEastAsia" w:hAnsiTheme="majorEastAsia" w:eastAsiaTheme="majorEastAsia"/>
                    </w:rPr>
                    <w:t>人</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w:t>
                  </w:r>
                  <w:r>
                    <w:rPr>
                      <w:rFonts w:hint="eastAsia" w:asciiTheme="majorEastAsia" w:hAnsiTheme="majorEastAsia" w:eastAsiaTheme="majorEastAsia"/>
                    </w:rPr>
                    <w:t>人</w:t>
                  </w:r>
                </w:p>
              </w:tc>
            </w:tr>
          </w:tbl>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　　</w:t>
            </w:r>
          </w:p>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　○アースキーパーメンバーシップ制度登録者数</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2017</w:t>
                  </w:r>
                  <w:r>
                    <w:rPr>
                      <w:rFonts w:hint="eastAsia" w:asciiTheme="majorEastAsia" w:hAnsiTheme="majorEastAsia" w:eastAsiaTheme="majorEastAsia"/>
                      <w:color w:val="000000" w:themeColor="text1"/>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2019</w:t>
                  </w:r>
                  <w:r>
                    <w:rPr>
                      <w:rFonts w:hint="eastAsia" w:asciiTheme="majorEastAsia" w:hAnsiTheme="majorEastAsia" w:eastAsiaTheme="majorEastAsia"/>
                      <w:color w:val="000000" w:themeColor="text1"/>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382</w:t>
                  </w:r>
                  <w:r>
                    <w:rPr>
                      <w:rFonts w:hint="eastAsia" w:asciiTheme="majorEastAsia" w:hAnsiTheme="majorEastAsia" w:eastAsiaTheme="majorEastAsia"/>
                    </w:rPr>
                    <w:t>人</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427</w:t>
                  </w:r>
                  <w:r>
                    <w:rPr>
                      <w:rFonts w:hint="eastAsia" w:asciiTheme="majorEastAsia" w:hAnsiTheme="majorEastAsia" w:eastAsiaTheme="majorEastAsia"/>
                    </w:rPr>
                    <w:t>人</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530</w:t>
                  </w:r>
                  <w:r>
                    <w:rPr>
                      <w:rFonts w:hint="eastAsia" w:asciiTheme="majorEastAsia" w:hAnsiTheme="majorEastAsia" w:eastAsiaTheme="majorEastAsia"/>
                    </w:rPr>
                    <w:t>人</w:t>
                  </w:r>
                </w:p>
              </w:tc>
            </w:tr>
          </w:tbl>
          <w:p>
            <w:pPr>
              <w:pStyle w:val="0"/>
              <w:spacing w:line="320" w:lineRule="exact"/>
              <w:ind w:left="210" w:leftChars="100" w:firstLine="180" w:firstLineChars="100"/>
              <w:rPr>
                <w:rFonts w:hint="default" w:asciiTheme="majorEastAsia" w:hAnsiTheme="majorEastAsia" w:eastAsiaTheme="majorEastAsia"/>
              </w:rPr>
            </w:pPr>
          </w:p>
          <w:p>
            <w:pPr>
              <w:pStyle w:val="0"/>
              <w:spacing w:line="320" w:lineRule="exact"/>
              <w:ind w:left="210" w:leftChars="100"/>
              <w:rPr>
                <w:rFonts w:hint="default" w:asciiTheme="majorEastAsia" w:hAnsiTheme="majorEastAsia" w:eastAsiaTheme="majorEastAsia"/>
              </w:rPr>
            </w:pPr>
            <w:r>
              <w:rPr>
                <w:rFonts w:hint="eastAsia" w:asciiTheme="majorEastAsia" w:hAnsiTheme="majorEastAsia" w:eastAsiaTheme="majorEastAsia"/>
              </w:rPr>
              <w:t>○花いっぱい運動の参加団体数</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2014</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120</w:t>
                  </w:r>
                  <w:r>
                    <w:rPr>
                      <w:rFonts w:hint="eastAsia" w:asciiTheme="majorEastAsia" w:hAnsiTheme="majorEastAsia" w:eastAsiaTheme="majorEastAsia"/>
                    </w:rPr>
                    <w:t>団体</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118</w:t>
                  </w:r>
                  <w:r>
                    <w:rPr>
                      <w:rFonts w:hint="eastAsia" w:asciiTheme="majorEastAsia" w:hAnsiTheme="majorEastAsia" w:eastAsiaTheme="majorEastAsia"/>
                    </w:rPr>
                    <w:t>団体</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130</w:t>
                  </w:r>
                  <w:r>
                    <w:rPr>
                      <w:rFonts w:hint="eastAsia" w:asciiTheme="majorEastAsia" w:hAnsiTheme="majorEastAsia" w:eastAsiaTheme="majorEastAsia"/>
                    </w:rPr>
                    <w:t>団体</w:t>
                  </w:r>
                </w:p>
              </w:tc>
            </w:tr>
          </w:tbl>
          <w:p>
            <w:pPr>
              <w:pStyle w:val="0"/>
              <w:spacing w:line="320" w:lineRule="exact"/>
              <w:ind w:left="210" w:hanging="210" w:hangingChars="100"/>
              <w:rPr>
                <w:rFonts w:hint="default" w:asciiTheme="majorEastAsia" w:hAnsiTheme="majorEastAsia" w:eastAsiaTheme="majorEastAsia"/>
              </w:rPr>
            </w:pPr>
          </w:p>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　○出前講座への参加者数</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2014</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180</w:t>
                  </w:r>
                  <w:r>
                    <w:rPr>
                      <w:rFonts w:hint="eastAsia" w:asciiTheme="majorEastAsia" w:hAnsiTheme="majorEastAsia" w:eastAsiaTheme="majorEastAsia"/>
                    </w:rPr>
                    <w:t>人</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103</w:t>
                  </w:r>
                  <w:r>
                    <w:rPr>
                      <w:rFonts w:hint="eastAsia" w:asciiTheme="majorEastAsia" w:hAnsiTheme="majorEastAsia" w:eastAsiaTheme="majorEastAsia"/>
                    </w:rPr>
                    <w:t>人</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300</w:t>
                  </w:r>
                  <w:r>
                    <w:rPr>
                      <w:rFonts w:hint="eastAsia" w:asciiTheme="majorEastAsia" w:hAnsiTheme="majorEastAsia" w:eastAsiaTheme="majorEastAsia"/>
                    </w:rPr>
                    <w:t>人</w:t>
                  </w:r>
                </w:p>
              </w:tc>
            </w:tr>
          </w:tbl>
          <w:p>
            <w:pPr>
              <w:pStyle w:val="0"/>
              <w:spacing w:line="320" w:lineRule="exact"/>
              <w:rPr>
                <w:rFonts w:hint="default" w:asciiTheme="majorEastAsia" w:hAnsiTheme="majorEastAsia" w:eastAsiaTheme="majorEastAsia"/>
              </w:rPr>
            </w:pPr>
          </w:p>
        </w:tc>
      </w:tr>
    </w:tbl>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br w:type="page"/>
      </w:r>
    </w:p>
    <w:p>
      <w:pPr>
        <w:pStyle w:val="0"/>
        <w:rPr>
          <w:rFonts w:hint="default" w:asciiTheme="majorEastAsia" w:hAnsiTheme="majorEastAsia" w:eastAsiaTheme="majorEastAsia"/>
        </w:rPr>
      </w:pPr>
      <w:r>
        <w:rPr>
          <w:rFonts w:hint="eastAsia"/>
        </w:rPr>
        <mc:AlternateContent>
          <mc:Choice Requires="wps">
            <w:drawing>
              <wp:anchor distT="0" distB="0" distL="114300" distR="114300" simplePos="0" relativeHeight="59" behindDoc="0" locked="0" layoutInCell="1" hidden="0" allowOverlap="1">
                <wp:simplePos x="0" y="0"/>
                <wp:positionH relativeFrom="column">
                  <wp:posOffset>476250</wp:posOffset>
                </wp:positionH>
                <wp:positionV relativeFrom="paragraph">
                  <wp:posOffset>46355</wp:posOffset>
                </wp:positionV>
                <wp:extent cx="3257550" cy="304800"/>
                <wp:effectExtent l="635" t="635" r="635" b="635"/>
                <wp:wrapNone/>
                <wp:docPr id="1123" name="四角形: 角を丸くする 27"/>
                <a:graphic xmlns:a="http://schemas.openxmlformats.org/drawingml/2006/main">
                  <a:graphicData uri="http://schemas.microsoft.com/office/word/2010/wordprocessingShape">
                    <wps:wsp>
                      <wps:cNvPr id="1123" name="四角形: 角を丸くする 27"/>
                      <wps:cNvSpPr/>
                      <wps:spPr>
                        <a:xfrm>
                          <a:off x="0" y="0"/>
                          <a:ext cx="3257550" cy="304800"/>
                        </a:xfrm>
                        <a:prstGeom prst="roundRect">
                          <a:avLst>
                            <a:gd name="adj" fmla="val 50000"/>
                          </a:avLst>
                        </a:prstGeom>
                        <a:solidFill>
                          <a:srgbClr val="FF8B8B"/>
                        </a:solidFill>
                        <a:ln w="12700" cap="flat" cmpd="sng" algn="ctr">
                          <a:noFill/>
                          <a:prstDash val="solid"/>
                          <a:miter lim="800000"/>
                        </a:ln>
                        <a:effectLst/>
                      </wps:spPr>
                      <wps:txbx>
                        <w:txbxContent>
                          <w:p>
                            <w:pPr>
                              <w:pStyle w:val="0"/>
                              <w:snapToGrid w:val="0"/>
                              <w:ind w:left="210" w:leftChars="100"/>
                              <w:jc w:val="center"/>
                              <w:rPr>
                                <w:rFonts w:hint="default" w:ascii="HG丸ｺﾞｼｯｸM-PRO" w:hAnsi="HG丸ｺﾞｼｯｸM-PRO" w:eastAsia="HG丸ｺﾞｼｯｸM-PRO"/>
                                <w:b w:val="1"/>
                                <w:color w:val="FFFFFF" w:themeColor="background1"/>
                              </w:rPr>
                            </w:pPr>
                            <w:r>
                              <w:rPr>
                                <w:rFonts w:hint="eastAsia" w:ascii="HG丸ｺﾞｼｯｸM-PRO" w:hAnsi="HG丸ｺﾞｼｯｸM-PRO" w:eastAsia="HG丸ｺﾞｼｯｸM-PRO"/>
                                <w:b w:val="1"/>
                                <w:color w:val="FFFFFF" w:themeColor="background1"/>
                              </w:rPr>
                              <w:t>事業者の取り組み</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27" style="mso-wrap-distance-right:9pt;mso-wrap-distance-bottom:0pt;margin-top:3.65pt;mso-position-vertical-relative:text;mso-position-horizontal-relative:text;v-text-anchor:middle;position:absolute;height:24pt;mso-wrap-distance-top:0pt;width:256.5pt;mso-wrap-distance-left:9pt;margin-left:37.5pt;z-index:59;" o:spid="_x0000_s1123" o:allowincell="t" o:allowoverlap="t" filled="t" fillcolor="#ff8b8b" stroked="f" strokeweight="1pt" o:spt="2" arcsize="32768f">
                <v:fill/>
                <v:stroke linestyle="single" miterlimit="8" endcap="flat" dashstyle="solid"/>
                <v:textbox style="layout-flow:horizontal;" inset="0mm,0mm,0mm,0mm">
                  <w:txbxContent>
                    <w:p>
                      <w:pPr>
                        <w:pStyle w:val="0"/>
                        <w:snapToGrid w:val="0"/>
                        <w:ind w:left="210" w:leftChars="100"/>
                        <w:jc w:val="center"/>
                        <w:rPr>
                          <w:rFonts w:hint="default" w:ascii="HG丸ｺﾞｼｯｸM-PRO" w:hAnsi="HG丸ｺﾞｼｯｸM-PRO" w:eastAsia="HG丸ｺﾞｼｯｸM-PRO"/>
                          <w:b w:val="1"/>
                          <w:color w:val="FFFFFF" w:themeColor="background1"/>
                        </w:rPr>
                      </w:pPr>
                      <w:r>
                        <w:rPr>
                          <w:rFonts w:hint="eastAsia" w:ascii="HG丸ｺﾞｼｯｸM-PRO" w:hAnsi="HG丸ｺﾞｼｯｸM-PRO" w:eastAsia="HG丸ｺﾞｼｯｸM-PRO"/>
                          <w:b w:val="1"/>
                          <w:color w:val="FFFFFF" w:themeColor="background1"/>
                        </w:rPr>
                        <w:t>事業者の取り組み</w:t>
                      </w:r>
                    </w:p>
                  </w:txbxContent>
                </v:textbox>
                <v:imagedata o:title=""/>
                <w10:wrap type="none" anchorx="text" anchory="text"/>
              </v:roundrect>
            </w:pict>
          </mc:Fallback>
        </mc:AlternateContent>
      </w:r>
    </w:p>
    <w:p>
      <w:pPr>
        <w:pStyle w:val="0"/>
        <w:rPr>
          <w:rFonts w:hint="default" w:asciiTheme="majorEastAsia" w:hAnsiTheme="majorEastAsia" w:eastAsiaTheme="majorEastAsia"/>
        </w:rPr>
      </w:pPr>
    </w:p>
    <w:tbl>
      <w:tblPr>
        <w:tblStyle w:val="34"/>
        <w:tblW w:w="0" w:type="auto"/>
        <w:jc w:val="center"/>
        <w:tblInd w:w="0" w:type="dxa"/>
        <w:tblBorders>
          <w:top w:val="single" w:color="FABF8F" w:themeColor="accent6" w:themeTint="99" w:sz="6" w:space="0"/>
          <w:left w:val="single" w:color="FABF8F" w:themeColor="accent6" w:themeTint="99" w:sz="6" w:space="0"/>
          <w:bottom w:val="single" w:color="FABF8F" w:themeColor="accent6" w:themeTint="99" w:sz="6" w:space="0"/>
          <w:right w:val="single" w:color="FABF8F" w:themeColor="accent6" w:themeTint="99" w:sz="6" w:space="0"/>
          <w:insideH w:val="single" w:color="FABF8F" w:themeColor="accent6" w:themeTint="99" w:sz="6" w:space="0"/>
          <w:insideV w:val="single" w:color="FABF8F" w:themeColor="accent6" w:themeTint="99" w:sz="6" w:space="0"/>
        </w:tblBorders>
        <w:tblLayout w:type="fixed"/>
        <w:tblLook w:firstRow="1" w:lastRow="0" w:firstColumn="0" w:lastColumn="0" w:noHBand="1" w:noVBand="1" w:val="0620"/>
      </w:tblPr>
      <w:tblGrid>
        <w:gridCol w:w="9138"/>
      </w:tblGrid>
      <w:tr>
        <w:trPr>
          <w:trHeight w:val="364" w:hRule="atLeast"/>
        </w:trPr>
        <w:tc>
          <w:tcPr>
            <w:tcW w:w="9138" w:type="dxa"/>
            <w:shd w:val="clear" w:color="auto" w:themeFill="accent6"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温暖化対策に取り組む体制・仕組みの整備・温暖化対策事業等への参加</w:t>
            </w:r>
          </w:p>
          <w:p>
            <w:pPr>
              <w:pStyle w:val="0"/>
              <w:jc w:val="center"/>
              <w:rPr>
                <w:rFonts w:hint="default" w:asciiTheme="majorEastAsia" w:hAnsiTheme="majorEastAsia" w:eastAsiaTheme="majorEastAsia"/>
              </w:rPr>
            </w:pPr>
            <w:r>
              <w:rPr>
                <w:rFonts w:hint="eastAsia" w:asciiTheme="majorEastAsia" w:hAnsiTheme="majorEastAsia" w:eastAsiaTheme="majorEastAsia"/>
              </w:rPr>
              <w:t>（主に産業部門・業務その他部門・運輸部門における取り組み）</w:t>
            </w:r>
          </w:p>
        </w:tc>
      </w:tr>
      <w:tr>
        <w:trPr>
          <w:trHeight w:val="7176" w:hRule="atLeast"/>
        </w:trPr>
        <w:tc>
          <w:tcPr>
            <w:tcW w:w="9138" w:type="dxa"/>
            <w:vAlign w:val="top"/>
          </w:tcPr>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【指標】</w:t>
            </w:r>
          </w:p>
          <w:p>
            <w:pPr>
              <w:pStyle w:val="0"/>
              <w:spacing w:line="320" w:lineRule="exact"/>
              <w:ind w:left="210" w:leftChars="100"/>
              <w:rPr>
                <w:rFonts w:hint="default" w:asciiTheme="majorEastAsia" w:hAnsiTheme="majorEastAsia" w:eastAsiaTheme="majorEastAsia"/>
              </w:rPr>
            </w:pPr>
            <w:r>
              <w:rPr>
                <w:rFonts w:hint="eastAsia" w:asciiTheme="majorEastAsia" w:hAnsiTheme="majorEastAsia" w:eastAsiaTheme="majorEastAsia"/>
              </w:rPr>
              <w:t>○省エネ行動実践率（クールビズ）</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2016</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59.0</w:t>
                  </w:r>
                  <w:r>
                    <w:rPr>
                      <w:rFonts w:hint="eastAsia" w:asciiTheme="majorEastAsia" w:hAnsiTheme="majorEastAsia" w:eastAsiaTheme="majorEastAsia"/>
                    </w:rPr>
                    <w:t>％</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91.6</w:t>
                  </w:r>
                  <w:r>
                    <w:rPr>
                      <w:rFonts w:hint="eastAsia" w:asciiTheme="majorEastAsia" w:hAnsiTheme="majorEastAsia" w:eastAsiaTheme="majorEastAsia"/>
                    </w:rPr>
                    <w:t>％</w:t>
                  </w:r>
                </w:p>
              </w:tc>
            </w:tr>
          </w:tbl>
          <w:p>
            <w:pPr>
              <w:pStyle w:val="0"/>
              <w:spacing w:line="320" w:lineRule="exact"/>
              <w:ind w:left="210" w:leftChars="100" w:firstLine="210" w:firstLineChars="100"/>
              <w:rPr>
                <w:rFonts w:hint="default" w:asciiTheme="majorEastAsia" w:hAnsiTheme="majorEastAsia" w:eastAsiaTheme="majorEastAsia"/>
              </w:rPr>
            </w:pPr>
            <w:r>
              <w:rPr>
                <w:rFonts w:hint="eastAsia" w:asciiTheme="majorEastAsia" w:hAnsiTheme="majorEastAsia" w:eastAsiaTheme="majorEastAsia"/>
              </w:rPr>
              <w:t>※アンケート未実施のため、数値なし</w:t>
            </w:r>
          </w:p>
          <w:p>
            <w:pPr>
              <w:pStyle w:val="0"/>
              <w:spacing w:line="320" w:lineRule="exact"/>
              <w:ind w:left="210" w:leftChars="100"/>
              <w:rPr>
                <w:rFonts w:hint="default" w:asciiTheme="majorEastAsia" w:hAnsiTheme="majorEastAsia" w:eastAsiaTheme="majorEastAsia"/>
              </w:rPr>
            </w:pPr>
          </w:p>
          <w:p>
            <w:pPr>
              <w:pStyle w:val="0"/>
              <w:spacing w:line="320" w:lineRule="exact"/>
              <w:ind w:left="210" w:leftChars="100"/>
              <w:rPr>
                <w:rFonts w:hint="default" w:asciiTheme="majorEastAsia" w:hAnsiTheme="majorEastAsia" w:eastAsiaTheme="majorEastAsia"/>
              </w:rPr>
            </w:pPr>
            <w:r>
              <w:rPr>
                <w:rFonts w:hint="eastAsia" w:asciiTheme="majorEastAsia" w:hAnsiTheme="majorEastAsia" w:eastAsiaTheme="majorEastAsia"/>
              </w:rPr>
              <w:t>○省エネ行動実践率（ウォームビズ）</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2016</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47.0</w:t>
                  </w:r>
                  <w:r>
                    <w:rPr>
                      <w:rFonts w:hint="eastAsia" w:asciiTheme="majorEastAsia" w:hAnsiTheme="majorEastAsia" w:eastAsiaTheme="majorEastAsia"/>
                    </w:rPr>
                    <w:t>％</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91.5</w:t>
                  </w:r>
                  <w:r>
                    <w:rPr>
                      <w:rFonts w:hint="eastAsia" w:asciiTheme="majorEastAsia" w:hAnsiTheme="majorEastAsia" w:eastAsiaTheme="majorEastAsia"/>
                    </w:rPr>
                    <w:t>％</w:t>
                  </w:r>
                </w:p>
              </w:tc>
            </w:tr>
          </w:tbl>
          <w:p>
            <w:pPr>
              <w:pStyle w:val="0"/>
              <w:spacing w:line="320" w:lineRule="exact"/>
              <w:ind w:firstLine="210" w:firstLineChars="100"/>
              <w:rPr>
                <w:rFonts w:hint="default" w:asciiTheme="majorEastAsia" w:hAnsiTheme="majorEastAsia" w:eastAsiaTheme="majorEastAsia"/>
              </w:rPr>
            </w:pPr>
            <w:r>
              <w:rPr>
                <w:rFonts w:hint="eastAsia" w:asciiTheme="majorEastAsia" w:hAnsiTheme="majorEastAsia" w:eastAsiaTheme="majorEastAsia"/>
              </w:rPr>
              <w:t>　※アンケート未実施のため、数値なし</w:t>
            </w:r>
          </w:p>
          <w:p>
            <w:pPr>
              <w:pStyle w:val="0"/>
              <w:spacing w:line="320" w:lineRule="exact"/>
              <w:ind w:left="210" w:leftChars="100" w:firstLine="210" w:firstLineChars="100"/>
              <w:rPr>
                <w:rFonts w:hint="default" w:asciiTheme="majorEastAsia" w:hAnsiTheme="majorEastAsia" w:eastAsiaTheme="majorEastAsia"/>
              </w:rPr>
            </w:pPr>
          </w:p>
          <w:p>
            <w:pPr>
              <w:pStyle w:val="0"/>
              <w:spacing w:line="320" w:lineRule="exact"/>
              <w:ind w:left="210" w:leftChars="100"/>
              <w:rPr>
                <w:rFonts w:hint="default" w:asciiTheme="majorEastAsia" w:hAnsiTheme="majorEastAsia" w:eastAsiaTheme="majorEastAsia"/>
              </w:rPr>
            </w:pPr>
            <w:r>
              <w:rPr>
                <w:rFonts w:hint="eastAsia" w:asciiTheme="majorEastAsia" w:hAnsiTheme="majorEastAsia" w:eastAsiaTheme="majorEastAsia"/>
              </w:rPr>
              <w:t>○グリーンカーテン作品展への参加事業者数</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2013</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w:t>
                  </w:r>
                  <w:r>
                    <w:rPr>
                      <w:rFonts w:hint="default" w:asciiTheme="majorEastAsia" w:hAnsiTheme="majorEastAsia" w:eastAsiaTheme="majorEastAsia"/>
                    </w:rPr>
                    <w:t>9</w:t>
                  </w:r>
                  <w:r>
                    <w:rPr>
                      <w:rFonts w:hint="eastAsia" w:asciiTheme="majorEastAsia" w:hAnsiTheme="majorEastAsia" w:eastAsiaTheme="majorEastAsia"/>
                    </w:rPr>
                    <w:t>事業所</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25</w:t>
                  </w:r>
                  <w:r>
                    <w:rPr>
                      <w:rFonts w:hint="eastAsia" w:asciiTheme="majorEastAsia" w:hAnsiTheme="majorEastAsia" w:eastAsiaTheme="majorEastAsia"/>
                    </w:rPr>
                    <w:t>事業所</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color w:val="000000" w:themeColor="text1"/>
                    </w:rPr>
                    <w:t>35</w:t>
                  </w:r>
                  <w:r>
                    <w:rPr>
                      <w:rFonts w:hint="eastAsia" w:asciiTheme="majorEastAsia" w:hAnsiTheme="majorEastAsia" w:eastAsiaTheme="majorEastAsia"/>
                      <w:color w:val="000000" w:themeColor="text1"/>
                    </w:rPr>
                    <w:t>事業</w:t>
                  </w:r>
                  <w:r>
                    <w:rPr>
                      <w:rFonts w:hint="eastAsia" w:asciiTheme="majorEastAsia" w:hAnsiTheme="majorEastAsia" w:eastAsiaTheme="majorEastAsia"/>
                    </w:rPr>
                    <w:t>所</w:t>
                  </w:r>
                </w:p>
              </w:tc>
            </w:tr>
          </w:tbl>
          <w:p>
            <w:pPr>
              <w:pStyle w:val="0"/>
              <w:spacing w:line="320" w:lineRule="exact"/>
              <w:ind w:left="210" w:leftChars="100" w:firstLine="210" w:firstLineChars="100"/>
              <w:rPr>
                <w:rFonts w:hint="default" w:asciiTheme="majorEastAsia" w:hAnsiTheme="majorEastAsia" w:eastAsiaTheme="majorEastAsia"/>
              </w:rPr>
            </w:pPr>
          </w:p>
          <w:p>
            <w:pPr>
              <w:pStyle w:val="0"/>
              <w:spacing w:line="320" w:lineRule="exact"/>
              <w:ind w:left="210" w:leftChars="100"/>
              <w:rPr>
                <w:rFonts w:hint="default" w:asciiTheme="majorEastAsia" w:hAnsiTheme="majorEastAsia" w:eastAsiaTheme="majorEastAsia"/>
              </w:rPr>
            </w:pPr>
            <w:r>
              <w:rPr>
                <w:rFonts w:hint="eastAsia" w:asciiTheme="majorEastAsia" w:hAnsiTheme="majorEastAsia" w:eastAsiaTheme="majorEastAsia"/>
              </w:rPr>
              <w:t>○エコアクション</w:t>
            </w:r>
            <w:r>
              <w:rPr>
                <w:rFonts w:hint="eastAsia" w:asciiTheme="majorEastAsia" w:hAnsiTheme="majorEastAsia" w:eastAsiaTheme="majorEastAsia"/>
              </w:rPr>
              <w:t>21</w:t>
            </w:r>
            <w:r>
              <w:rPr>
                <w:rFonts w:hint="eastAsia" w:asciiTheme="majorEastAsia" w:hAnsiTheme="majorEastAsia" w:eastAsiaTheme="majorEastAsia"/>
              </w:rPr>
              <w:t>の取得企業数</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2016</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3</w:t>
                  </w:r>
                  <w:r>
                    <w:rPr>
                      <w:rFonts w:hint="eastAsia" w:asciiTheme="majorEastAsia" w:hAnsiTheme="majorEastAsia" w:eastAsiaTheme="majorEastAsia"/>
                    </w:rPr>
                    <w:t>事業所</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3</w:t>
                  </w:r>
                  <w:r>
                    <w:rPr>
                      <w:rFonts w:hint="eastAsia" w:asciiTheme="majorEastAsia" w:hAnsiTheme="majorEastAsia" w:eastAsiaTheme="majorEastAsia"/>
                    </w:rPr>
                    <w:t>事業者</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color w:val="000000" w:themeColor="text1"/>
                    </w:rPr>
                    <w:t>15</w:t>
                  </w:r>
                  <w:r>
                    <w:rPr>
                      <w:rFonts w:hint="eastAsia" w:asciiTheme="majorEastAsia" w:hAnsiTheme="majorEastAsia" w:eastAsiaTheme="majorEastAsia"/>
                      <w:color w:val="000000" w:themeColor="text1"/>
                    </w:rPr>
                    <w:t>事業</w:t>
                  </w:r>
                  <w:r>
                    <w:rPr>
                      <w:rFonts w:hint="eastAsia" w:asciiTheme="majorEastAsia" w:hAnsiTheme="majorEastAsia" w:eastAsiaTheme="majorEastAsia"/>
                    </w:rPr>
                    <w:t>所</w:t>
                  </w:r>
                </w:p>
              </w:tc>
            </w:tr>
          </w:tbl>
          <w:p>
            <w:pPr>
              <w:pStyle w:val="0"/>
              <w:spacing w:line="320" w:lineRule="exact"/>
              <w:rPr>
                <w:rFonts w:hint="default" w:asciiTheme="majorEastAsia" w:hAnsiTheme="majorEastAsia" w:eastAsiaTheme="majorEastAsia"/>
              </w:rPr>
            </w:pPr>
          </w:p>
        </w:tc>
      </w:tr>
    </w:tbl>
    <w:p>
      <w:pPr>
        <w:pStyle w:val="0"/>
        <w:spacing w:line="320" w:lineRule="exact"/>
        <w:rPr>
          <w:rFonts w:hint="default" w:asciiTheme="majorEastAsia" w:hAnsiTheme="majorEastAsia" w:eastAsiaTheme="majorEastAsia"/>
        </w:rPr>
      </w:pPr>
    </w:p>
    <w:tbl>
      <w:tblPr>
        <w:tblStyle w:val="34"/>
        <w:tblpPr w:leftFromText="0" w:rightFromText="0" w:topFromText="0" w:bottomFromText="0" w:vertAnchor="text" w:horzAnchor="margin" w:tblpXSpec="center" w:tblpY="120"/>
        <w:tblOverlap w:val="never"/>
        <w:tblW w:w="9148" w:type="dxa"/>
        <w:tblBorders>
          <w:top w:val="single" w:color="FABF8F" w:themeColor="accent6" w:themeTint="99" w:sz="6" w:space="0"/>
          <w:left w:val="single" w:color="FABF8F" w:themeColor="accent6" w:themeTint="99" w:sz="6" w:space="0"/>
          <w:bottom w:val="single" w:color="FABF8F" w:themeColor="accent6" w:themeTint="99" w:sz="6" w:space="0"/>
          <w:right w:val="single" w:color="FABF8F" w:themeColor="accent6" w:themeTint="99" w:sz="6" w:space="0"/>
          <w:insideH w:val="single" w:color="FABF8F" w:themeColor="accent6" w:themeTint="99" w:sz="6" w:space="0"/>
          <w:insideV w:val="single" w:color="FABF8F" w:themeColor="accent6" w:themeTint="99" w:sz="6" w:space="0"/>
        </w:tblBorders>
        <w:tblLayout w:type="fixed"/>
        <w:tblLook w:firstRow="1" w:lastRow="0" w:firstColumn="0" w:lastColumn="0" w:noHBand="1" w:noVBand="1" w:val="0620"/>
      </w:tblPr>
      <w:tblGrid>
        <w:gridCol w:w="9148"/>
      </w:tblGrid>
      <w:tr>
        <w:trPr>
          <w:trHeight w:val="378" w:hRule="atLeast"/>
        </w:trPr>
        <w:tc>
          <w:tcPr>
            <w:tcW w:w="9148" w:type="dxa"/>
            <w:shd w:val="clear" w:color="auto" w:themeFill="accent6"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省エネルギー対策の実施、再生可能エネルギーの導入</w:t>
            </w:r>
          </w:p>
          <w:p>
            <w:pPr>
              <w:pStyle w:val="0"/>
              <w:jc w:val="center"/>
              <w:rPr>
                <w:rFonts w:hint="default" w:asciiTheme="majorEastAsia" w:hAnsiTheme="majorEastAsia" w:eastAsiaTheme="majorEastAsia"/>
              </w:rPr>
            </w:pPr>
            <w:r>
              <w:rPr>
                <w:rFonts w:hint="eastAsia" w:asciiTheme="majorEastAsia" w:hAnsiTheme="majorEastAsia" w:eastAsiaTheme="majorEastAsia"/>
              </w:rPr>
              <w:t>（主に産業部門・業務その他部門・運輸部門における取り組み）</w:t>
            </w:r>
          </w:p>
        </w:tc>
      </w:tr>
      <w:tr>
        <w:trPr>
          <w:trHeight w:val="4215" w:hRule="atLeast"/>
        </w:trPr>
        <w:tc>
          <w:tcPr>
            <w:tcW w:w="9148" w:type="dxa"/>
            <w:vAlign w:val="top"/>
          </w:tcPr>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【指標】</w:t>
            </w:r>
          </w:p>
          <w:p>
            <w:pPr>
              <w:pStyle w:val="0"/>
              <w:rPr>
                <w:rFonts w:hint="default" w:asciiTheme="majorEastAsia" w:hAnsiTheme="majorEastAsia" w:eastAsiaTheme="majorEastAsia"/>
              </w:rPr>
            </w:pPr>
            <w:r>
              <w:rPr>
                <w:rFonts w:hint="eastAsia" w:asciiTheme="majorEastAsia" w:hAnsiTheme="majorEastAsia" w:eastAsiaTheme="majorEastAsia"/>
              </w:rPr>
              <w:t>　○再生可能エネルギー導入による温室効果ガス削減量</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2013</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22</w:t>
                  </w:r>
                  <w:r>
                    <w:rPr>
                      <w:rFonts w:hint="eastAsia" w:asciiTheme="majorEastAsia" w:hAnsiTheme="majorEastAsia" w:eastAsiaTheme="majorEastAsia"/>
                    </w:rPr>
                    <w:t>千</w:t>
                  </w:r>
                  <w:r>
                    <w:rPr>
                      <w:rFonts w:hint="eastAsia" w:asciiTheme="majorEastAsia" w:hAnsiTheme="majorEastAsia" w:eastAsiaTheme="majorEastAsia"/>
                    </w:rPr>
                    <w:t>t-CO</w:t>
                  </w:r>
                  <w:r>
                    <w:rPr>
                      <w:rFonts w:hint="eastAsia" w:asciiTheme="majorEastAsia" w:hAnsiTheme="majorEastAsia" w:eastAsiaTheme="majorEastAsia"/>
                    </w:rPr>
                    <w:t>₂</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81</w:t>
                  </w:r>
                  <w:r>
                    <w:rPr>
                      <w:rFonts w:hint="eastAsia" w:asciiTheme="majorEastAsia" w:hAnsiTheme="majorEastAsia" w:eastAsiaTheme="majorEastAsia"/>
                    </w:rPr>
                    <w:t>千</w:t>
                  </w:r>
                  <w:r>
                    <w:rPr>
                      <w:rFonts w:hint="eastAsia" w:asciiTheme="majorEastAsia" w:hAnsiTheme="majorEastAsia" w:eastAsiaTheme="majorEastAsia"/>
                    </w:rPr>
                    <w:t>t-CO</w:t>
                  </w:r>
                  <w:r>
                    <w:rPr>
                      <w:rFonts w:hint="eastAsia" w:asciiTheme="majorEastAsia" w:hAnsiTheme="majorEastAsia" w:eastAsiaTheme="majorEastAsia"/>
                    </w:rPr>
                    <w:t>₂</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59.9</w:t>
                  </w:r>
                  <w:r>
                    <w:rPr>
                      <w:rFonts w:hint="eastAsia" w:asciiTheme="majorEastAsia" w:hAnsiTheme="majorEastAsia" w:eastAsiaTheme="majorEastAsia"/>
                    </w:rPr>
                    <w:t>千</w:t>
                  </w:r>
                  <w:r>
                    <w:rPr>
                      <w:rFonts w:hint="eastAsia" w:asciiTheme="majorEastAsia" w:hAnsiTheme="majorEastAsia" w:eastAsiaTheme="majorEastAsia"/>
                    </w:rPr>
                    <w:t>t-CO</w:t>
                  </w:r>
                  <w:r>
                    <w:rPr>
                      <w:rFonts w:hint="eastAsia" w:asciiTheme="majorEastAsia" w:hAnsiTheme="majorEastAsia" w:eastAsiaTheme="majorEastAsia"/>
                    </w:rPr>
                    <w:t>₂</w:t>
                  </w:r>
                </w:p>
              </w:tc>
            </w:tr>
          </w:tbl>
          <w:p>
            <w:pPr>
              <w:pStyle w:val="0"/>
              <w:rPr>
                <w:rFonts w:hint="default" w:asciiTheme="majorEastAsia" w:hAnsiTheme="majorEastAsia" w:eastAsiaTheme="majorEastAsia"/>
              </w:rPr>
            </w:pPr>
            <w:r>
              <w:rPr>
                <w:rFonts w:hint="eastAsia" w:asciiTheme="majorEastAsia" w:hAnsiTheme="majorEastAsia" w:eastAsiaTheme="majorEastAsia"/>
              </w:rPr>
              <w:t>　　※津山市全体で把握を行います（市民の取り組みと重複）。</w:t>
            </w:r>
          </w:p>
          <w:p>
            <w:pPr>
              <w:pStyle w:val="0"/>
              <w:ind w:firstLine="420" w:firstLineChars="200"/>
              <w:rPr>
                <w:rFonts w:hint="default" w:asciiTheme="majorEastAsia" w:hAnsiTheme="majorEastAsia" w:eastAsiaTheme="majorEastAsia"/>
              </w:rPr>
            </w:pPr>
          </w:p>
          <w:p>
            <w:pPr>
              <w:pStyle w:val="0"/>
              <w:ind w:firstLine="420" w:firstLineChars="200"/>
              <w:rPr>
                <w:rFonts w:hint="default" w:asciiTheme="majorEastAsia" w:hAnsiTheme="majorEastAsia" w:eastAsiaTheme="majorEastAsia"/>
              </w:rPr>
            </w:pPr>
            <w:r>
              <w:rPr>
                <w:rFonts w:hint="eastAsia" w:asciiTheme="majorEastAsia" w:hAnsiTheme="majorEastAsia" w:eastAsiaTheme="majorEastAsia"/>
              </w:rPr>
              <w:t>○小水力発電設置数</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2014</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7</w:t>
                  </w:r>
                  <w:r>
                    <w:rPr>
                      <w:rFonts w:hint="eastAsia" w:asciiTheme="majorEastAsia" w:hAnsiTheme="majorEastAsia" w:eastAsiaTheme="majorEastAsia"/>
                    </w:rPr>
                    <w:t>か所</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8</w:t>
                  </w:r>
                  <w:r>
                    <w:rPr>
                      <w:rFonts w:hint="eastAsia" w:asciiTheme="majorEastAsia" w:hAnsiTheme="majorEastAsia" w:eastAsiaTheme="majorEastAsia"/>
                    </w:rPr>
                    <w:t>か所</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10</w:t>
                  </w:r>
                  <w:r>
                    <w:rPr>
                      <w:rFonts w:hint="eastAsia" w:asciiTheme="majorEastAsia" w:hAnsiTheme="majorEastAsia" w:eastAsiaTheme="majorEastAsia"/>
                    </w:rPr>
                    <w:t>か所</w:t>
                  </w:r>
                </w:p>
              </w:tc>
            </w:tr>
          </w:tbl>
          <w:p>
            <w:pPr>
              <w:pStyle w:val="0"/>
              <w:rPr>
                <w:rFonts w:hint="default" w:asciiTheme="majorEastAsia" w:hAnsiTheme="majorEastAsia" w:eastAsiaTheme="majorEastAsia"/>
              </w:rPr>
            </w:pP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0"/>
        <w:rPr>
          <w:rFonts w:hint="default" w:asciiTheme="majorEastAsia" w:hAnsiTheme="majorEastAsia" w:eastAsiaTheme="majorEastAsia"/>
        </w:rPr>
      </w:pPr>
      <w:r>
        <w:rPr>
          <w:rFonts w:hint="eastAsia"/>
        </w:rPr>
        <mc:AlternateContent>
          <mc:Choice Requires="wps">
            <w:drawing>
              <wp:anchor distT="0" distB="0" distL="114300" distR="114300" simplePos="0" relativeHeight="60" behindDoc="0" locked="0" layoutInCell="1" hidden="0" allowOverlap="1">
                <wp:simplePos x="0" y="0"/>
                <wp:positionH relativeFrom="column">
                  <wp:posOffset>409575</wp:posOffset>
                </wp:positionH>
                <wp:positionV relativeFrom="paragraph">
                  <wp:posOffset>46355</wp:posOffset>
                </wp:positionV>
                <wp:extent cx="3257550" cy="304800"/>
                <wp:effectExtent l="635" t="635" r="635" b="635"/>
                <wp:wrapNone/>
                <wp:docPr id="1124" name="四角形: 角を丸くする 27"/>
                <a:graphic xmlns:a="http://schemas.openxmlformats.org/drawingml/2006/main">
                  <a:graphicData uri="http://schemas.microsoft.com/office/word/2010/wordprocessingShape">
                    <wps:wsp>
                      <wps:cNvPr id="1124" name="四角形: 角を丸くする 27"/>
                      <wps:cNvSpPr/>
                      <wps:spPr>
                        <a:xfrm>
                          <a:off x="0" y="0"/>
                          <a:ext cx="3257550" cy="304800"/>
                        </a:xfrm>
                        <a:prstGeom prst="roundRect">
                          <a:avLst>
                            <a:gd name="adj" fmla="val 50000"/>
                          </a:avLst>
                        </a:prstGeom>
                        <a:solidFill>
                          <a:srgbClr val="FF8B8B"/>
                        </a:solidFill>
                        <a:ln w="12700" cap="flat" cmpd="sng" algn="ctr">
                          <a:noFill/>
                          <a:prstDash val="solid"/>
                          <a:miter lim="800000"/>
                        </a:ln>
                        <a:effectLst/>
                      </wps:spPr>
                      <wps:txbx>
                        <w:txbxContent>
                          <w:p>
                            <w:pPr>
                              <w:pStyle w:val="0"/>
                              <w:snapToGrid w:val="0"/>
                              <w:ind w:left="210" w:leftChars="100"/>
                              <w:jc w:val="center"/>
                              <w:rPr>
                                <w:rFonts w:hint="default" w:ascii="HG丸ｺﾞｼｯｸM-PRO" w:hAnsi="HG丸ｺﾞｼｯｸM-PRO" w:eastAsia="HG丸ｺﾞｼｯｸM-PRO"/>
                                <w:b w:val="1"/>
                                <w:color w:val="FFFFFF" w:themeColor="background1"/>
                              </w:rPr>
                            </w:pPr>
                            <w:r>
                              <w:rPr>
                                <w:rFonts w:hint="eastAsia" w:ascii="HG丸ｺﾞｼｯｸM-PRO" w:hAnsi="HG丸ｺﾞｼｯｸM-PRO" w:eastAsia="HG丸ｺﾞｼｯｸM-PRO"/>
                                <w:b w:val="1"/>
                                <w:color w:val="FFFFFF" w:themeColor="background1"/>
                              </w:rPr>
                              <w:t>市の取り組み</w:t>
                            </w:r>
                          </w:p>
                        </w:txbxContent>
                      </wps:txbx>
                      <wps:bodyPr rot="0" vertOverflow="overflow" horzOverflow="overflow" wrap="square" lIns="0" tIns="0" rIns="0" bIns="0" numCol="1" spcCol="0" rtlCol="0" fromWordArt="0" anchor="ctr" anchorCtr="0" forceAA="0" compatLnSpc="1"/>
                    </wps:wsp>
                  </a:graphicData>
                </a:graphic>
              </wp:anchor>
            </w:drawing>
          </mc:Choice>
          <mc:Fallback>
            <w:pict>
              <v:roundrect id="四角形: 角を丸くする 27" style="mso-wrap-distance-right:9pt;mso-wrap-distance-bottom:0pt;margin-top:3.65pt;mso-position-vertical-relative:text;mso-position-horizontal-relative:text;v-text-anchor:middle;position:absolute;height:24pt;mso-wrap-distance-top:0pt;width:256.5pt;mso-wrap-distance-left:9pt;margin-left:32.25pt;z-index:60;" o:spid="_x0000_s1124" o:allowincell="t" o:allowoverlap="t" filled="t" fillcolor="#ff8b8b" stroked="f" strokeweight="1pt" o:spt="2" arcsize="32768f">
                <v:fill/>
                <v:stroke linestyle="single" miterlimit="8" endcap="flat" dashstyle="solid"/>
                <v:textbox style="layout-flow:horizontal;" inset="0mm,0mm,0mm,0mm">
                  <w:txbxContent>
                    <w:p>
                      <w:pPr>
                        <w:pStyle w:val="0"/>
                        <w:snapToGrid w:val="0"/>
                        <w:ind w:left="210" w:leftChars="100"/>
                        <w:jc w:val="center"/>
                        <w:rPr>
                          <w:rFonts w:hint="default" w:ascii="HG丸ｺﾞｼｯｸM-PRO" w:hAnsi="HG丸ｺﾞｼｯｸM-PRO" w:eastAsia="HG丸ｺﾞｼｯｸM-PRO"/>
                          <w:b w:val="1"/>
                          <w:color w:val="FFFFFF" w:themeColor="background1"/>
                        </w:rPr>
                      </w:pPr>
                      <w:r>
                        <w:rPr>
                          <w:rFonts w:hint="eastAsia" w:ascii="HG丸ｺﾞｼｯｸM-PRO" w:hAnsi="HG丸ｺﾞｼｯｸM-PRO" w:eastAsia="HG丸ｺﾞｼｯｸM-PRO"/>
                          <w:b w:val="1"/>
                          <w:color w:val="FFFFFF" w:themeColor="background1"/>
                        </w:rPr>
                        <w:t>市の取り組み</w:t>
                      </w:r>
                    </w:p>
                  </w:txbxContent>
                </v:textbox>
                <v:imagedata o:title=""/>
                <w10:wrap type="none" anchorx="text" anchory="text"/>
              </v:roundrect>
            </w:pict>
          </mc:Fallback>
        </mc:AlternateContent>
      </w:r>
    </w:p>
    <w:p>
      <w:pPr>
        <w:pStyle w:val="0"/>
        <w:rPr>
          <w:rFonts w:hint="default" w:asciiTheme="majorEastAsia" w:hAnsiTheme="majorEastAsia" w:eastAsiaTheme="majorEastAsia"/>
        </w:rPr>
      </w:pPr>
    </w:p>
    <w:tbl>
      <w:tblPr>
        <w:tblStyle w:val="34"/>
        <w:tblW w:w="0" w:type="auto"/>
        <w:jc w:val="center"/>
        <w:tblInd w:w="0" w:type="dxa"/>
        <w:tblBorders>
          <w:top w:val="single" w:color="FABF8F" w:themeColor="accent6" w:themeTint="99" w:sz="6" w:space="0"/>
          <w:left w:val="single" w:color="FABF8F" w:themeColor="accent6" w:themeTint="99" w:sz="6" w:space="0"/>
          <w:bottom w:val="single" w:color="FABF8F" w:themeColor="accent6" w:themeTint="99" w:sz="6" w:space="0"/>
          <w:right w:val="single" w:color="FABF8F" w:themeColor="accent6" w:themeTint="99" w:sz="6" w:space="0"/>
          <w:insideH w:val="single" w:color="FABF8F" w:themeColor="accent6" w:themeTint="99" w:sz="6" w:space="0"/>
          <w:insideV w:val="single" w:color="FABF8F" w:themeColor="accent6" w:themeTint="99" w:sz="6" w:space="0"/>
        </w:tblBorders>
        <w:tblLayout w:type="fixed"/>
        <w:tblLook w:firstRow="1" w:lastRow="0" w:firstColumn="0" w:lastColumn="0" w:noHBand="1" w:noVBand="1" w:val="0620"/>
      </w:tblPr>
      <w:tblGrid>
        <w:gridCol w:w="9188"/>
      </w:tblGrid>
      <w:tr>
        <w:trPr>
          <w:trHeight w:val="363" w:hRule="atLeast"/>
        </w:trPr>
        <w:tc>
          <w:tcPr>
            <w:tcW w:w="9188" w:type="dxa"/>
            <w:shd w:val="clear" w:color="auto" w:themeFill="accent6"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省エネルギー対策、再生可能エネルギーの導入</w:t>
            </w:r>
          </w:p>
          <w:p>
            <w:pPr>
              <w:pStyle w:val="0"/>
              <w:jc w:val="center"/>
              <w:rPr>
                <w:rFonts w:hint="default" w:asciiTheme="majorEastAsia" w:hAnsiTheme="majorEastAsia" w:eastAsiaTheme="majorEastAsia"/>
              </w:rPr>
            </w:pPr>
            <w:r>
              <w:rPr>
                <w:rFonts w:hint="eastAsia" w:asciiTheme="majorEastAsia" w:hAnsiTheme="majorEastAsia" w:eastAsiaTheme="majorEastAsia"/>
              </w:rPr>
              <w:t>（主に業務その他部門における取り組み）</w:t>
            </w:r>
          </w:p>
        </w:tc>
      </w:tr>
      <w:tr>
        <w:trPr>
          <w:trHeight w:val="4558" w:hRule="atLeast"/>
        </w:trPr>
        <w:tc>
          <w:tcPr>
            <w:tcW w:w="9188" w:type="dxa"/>
            <w:vAlign w:val="top"/>
          </w:tcPr>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【指標】</w:t>
            </w:r>
          </w:p>
          <w:p>
            <w:pPr>
              <w:pStyle w:val="0"/>
              <w:spacing w:line="320" w:lineRule="exact"/>
              <w:ind w:left="210" w:leftChars="100"/>
              <w:rPr>
                <w:rFonts w:hint="default" w:asciiTheme="majorEastAsia" w:hAnsiTheme="majorEastAsia" w:eastAsiaTheme="majorEastAsia"/>
              </w:rPr>
            </w:pPr>
            <w:r>
              <w:rPr>
                <w:rFonts w:hint="eastAsia" w:asciiTheme="majorEastAsia" w:hAnsiTheme="majorEastAsia" w:eastAsiaTheme="majorEastAsia"/>
              </w:rPr>
              <w:t>○津山市地球温暖化対策実行計画（事務事業編）の目標値</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2013</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26,358t-CO</w:t>
                  </w:r>
                  <w:r>
                    <w:rPr>
                      <w:rFonts w:hint="eastAsia" w:asciiTheme="majorEastAsia" w:hAnsiTheme="majorEastAsia" w:eastAsiaTheme="majorEastAsia"/>
                    </w:rPr>
                    <w:t>₂</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vertAlign w:val="subscript"/>
                    </w:rPr>
                  </w:pPr>
                  <w:r>
                    <w:rPr>
                      <w:rFonts w:hint="eastAsia" w:asciiTheme="majorEastAsia" w:hAnsiTheme="majorEastAsia" w:eastAsiaTheme="majorEastAsia"/>
                      <w:highlight w:val="none"/>
                    </w:rPr>
                    <w:t>20,589</w:t>
                  </w:r>
                  <w:r>
                    <w:rPr>
                      <w:rFonts w:hint="eastAsia" w:asciiTheme="majorEastAsia" w:hAnsiTheme="majorEastAsia" w:eastAsiaTheme="majorEastAsia"/>
                    </w:rPr>
                    <w:t>t-CO</w:t>
                  </w:r>
                  <w:r>
                    <w:rPr>
                      <w:rFonts w:hint="eastAsia" w:asciiTheme="majorEastAsia" w:hAnsiTheme="majorEastAsia" w:eastAsiaTheme="majorEastAsia"/>
                      <w:vertAlign w:val="subscript"/>
                    </w:rPr>
                    <w:t>2</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22,591t-CO</w:t>
                  </w:r>
                  <w:r>
                    <w:rPr>
                      <w:rFonts w:hint="eastAsia" w:asciiTheme="majorEastAsia" w:hAnsiTheme="majorEastAsia" w:eastAsiaTheme="majorEastAsia"/>
                    </w:rPr>
                    <w:t>₂</w:t>
                  </w:r>
                </w:p>
              </w:tc>
            </w:tr>
          </w:tbl>
          <w:p>
            <w:pPr>
              <w:pStyle w:val="0"/>
              <w:spacing w:line="320" w:lineRule="exact"/>
              <w:ind w:left="210" w:leftChars="100"/>
              <w:rPr>
                <w:rFonts w:hint="default" w:asciiTheme="majorEastAsia" w:hAnsiTheme="majorEastAsia" w:eastAsiaTheme="majorEastAsia"/>
              </w:rPr>
            </w:pPr>
            <w:r>
              <w:rPr>
                <w:rFonts w:hint="eastAsia" w:asciiTheme="majorEastAsia" w:hAnsiTheme="majorEastAsia" w:eastAsiaTheme="majorEastAsia"/>
                <w:color w:val="FF0000"/>
              </w:rPr>
              <w:t>　</w:t>
            </w:r>
            <w:r>
              <w:rPr>
                <w:rFonts w:hint="eastAsia" w:asciiTheme="majorEastAsia" w:hAnsiTheme="majorEastAsia" w:eastAsiaTheme="majorEastAsia"/>
              </w:rPr>
              <w:t>※本市の事務及び事業に伴って発生する温室効果ガス排出量を対象とします。</w:t>
            </w:r>
          </w:p>
          <w:p>
            <w:pPr>
              <w:pStyle w:val="0"/>
              <w:spacing w:line="320" w:lineRule="exact"/>
              <w:ind w:left="210" w:leftChars="100"/>
              <w:rPr>
                <w:rFonts w:hint="default" w:asciiTheme="majorEastAsia" w:hAnsiTheme="majorEastAsia" w:eastAsiaTheme="majorEastAsia"/>
              </w:rPr>
            </w:pPr>
          </w:p>
          <w:p>
            <w:pPr>
              <w:pStyle w:val="0"/>
              <w:spacing w:line="320" w:lineRule="exact"/>
              <w:ind w:left="210" w:leftChars="100"/>
              <w:rPr>
                <w:rFonts w:hint="default" w:asciiTheme="majorEastAsia" w:hAnsiTheme="majorEastAsia" w:eastAsiaTheme="majorEastAsia"/>
              </w:rPr>
            </w:pPr>
            <w:r>
              <w:rPr>
                <w:rFonts w:hint="eastAsia" w:asciiTheme="majorEastAsia" w:hAnsiTheme="majorEastAsia" w:eastAsiaTheme="majorEastAsia"/>
              </w:rPr>
              <w:t>○超小型モビリティの走行距離及び温室効果ガス排出削減量</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2013</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13,850km</w:t>
                  </w:r>
                  <w:r>
                    <w:rPr>
                      <w:rFonts w:hint="eastAsia" w:asciiTheme="majorEastAsia" w:hAnsiTheme="majorEastAsia" w:eastAsiaTheme="majorEastAsia"/>
                    </w:rPr>
                    <w:t>（</w:t>
                  </w:r>
                  <w:r>
                    <w:rPr>
                      <w:rFonts w:hint="eastAsia" w:asciiTheme="majorEastAsia" w:hAnsiTheme="majorEastAsia" w:eastAsiaTheme="majorEastAsia"/>
                      <w:color w:val="000000" w:themeColor="text1"/>
                    </w:rPr>
                    <w:t>1.3t</w:t>
                  </w:r>
                  <w:r>
                    <w:rPr>
                      <w:rFonts w:hint="eastAsia" w:asciiTheme="majorEastAsia" w:hAnsiTheme="majorEastAsia" w:eastAsiaTheme="majorEastAsia"/>
                    </w:rPr>
                    <w:t>-CO</w:t>
                  </w:r>
                  <w:r>
                    <w:rPr>
                      <w:rFonts w:hint="eastAsia" w:asciiTheme="majorEastAsia" w:hAnsiTheme="majorEastAsia" w:eastAsiaTheme="majorEastAsia"/>
                    </w:rPr>
                    <w:t>₂）</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18,347</w:t>
                  </w:r>
                  <w:r>
                    <w:rPr>
                      <w:rFonts w:hint="eastAsia" w:asciiTheme="majorEastAsia" w:hAnsiTheme="majorEastAsia" w:eastAsiaTheme="majorEastAsia"/>
                    </w:rPr>
                    <w:t>㎞（</w:t>
                  </w:r>
                  <w:r>
                    <w:rPr>
                      <w:rFonts w:hint="eastAsia" w:asciiTheme="majorEastAsia" w:hAnsiTheme="majorEastAsia" w:eastAsiaTheme="majorEastAsia"/>
                      <w:highlight w:val="none"/>
                    </w:rPr>
                    <w:t>1.98</w:t>
                  </w:r>
                  <w:r>
                    <w:rPr>
                      <w:rFonts w:hint="eastAsia" w:asciiTheme="majorEastAsia" w:hAnsiTheme="majorEastAsia" w:eastAsiaTheme="majorEastAsia"/>
                    </w:rPr>
                    <w:t>t-CO</w:t>
                  </w:r>
                  <w:r>
                    <w:rPr>
                      <w:rFonts w:hint="eastAsia" w:asciiTheme="majorEastAsia" w:hAnsiTheme="majorEastAsia" w:eastAsiaTheme="majorEastAsia"/>
                      <w:vertAlign w:val="subscript"/>
                    </w:rPr>
                    <w:t>2</w:t>
                  </w:r>
                  <w:r>
                    <w:rPr>
                      <w:rFonts w:hint="eastAsia" w:asciiTheme="majorEastAsia" w:hAnsiTheme="majorEastAsia" w:eastAsiaTheme="majorEastAsia"/>
                    </w:rPr>
                    <w:t>）</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color w:val="000000" w:themeColor="text1"/>
                    </w:rPr>
                    <w:t>20,000km</w:t>
                  </w:r>
                  <w:r>
                    <w:rPr>
                      <w:rFonts w:hint="eastAsia" w:asciiTheme="majorEastAsia" w:hAnsiTheme="majorEastAsia" w:eastAsiaTheme="majorEastAsia"/>
                      <w:color w:val="000000" w:themeColor="text1"/>
                    </w:rPr>
                    <w:t>（</w:t>
                  </w:r>
                  <w:r>
                    <w:rPr>
                      <w:rFonts w:hint="eastAsia" w:asciiTheme="majorEastAsia" w:hAnsiTheme="majorEastAsia" w:eastAsiaTheme="majorEastAsia"/>
                      <w:color w:val="000000" w:themeColor="text1"/>
                    </w:rPr>
                    <w:t>2.0t-CO</w:t>
                  </w:r>
                  <w:r>
                    <w:rPr>
                      <w:rFonts w:hint="eastAsia" w:asciiTheme="majorEastAsia" w:hAnsiTheme="majorEastAsia" w:eastAsiaTheme="majorEastAsia"/>
                      <w:color w:val="000000" w:themeColor="text1"/>
                    </w:rPr>
                    <w:t>₂）</w:t>
                  </w:r>
                </w:p>
              </w:tc>
            </w:tr>
          </w:tbl>
          <w:p>
            <w:pPr>
              <w:pStyle w:val="0"/>
              <w:spacing w:line="320" w:lineRule="exact"/>
              <w:rPr>
                <w:rFonts w:hint="default" w:asciiTheme="majorEastAsia" w:hAnsiTheme="majorEastAsia" w:eastAsiaTheme="majorEastAsia"/>
              </w:rPr>
            </w:pPr>
            <w:r>
              <w:rPr>
                <w:rFonts w:hint="eastAsia" w:asciiTheme="majorEastAsia" w:hAnsiTheme="majorEastAsia" w:eastAsiaTheme="majorEastAsia"/>
              </w:rPr>
              <w:t>　</w:t>
            </w:r>
          </w:p>
          <w:p>
            <w:pPr>
              <w:pStyle w:val="0"/>
              <w:spacing w:line="320" w:lineRule="exact"/>
              <w:rPr>
                <w:rFonts w:hint="default" w:asciiTheme="majorEastAsia" w:hAnsiTheme="majorEastAsia" w:eastAsiaTheme="majorEastAsia"/>
              </w:rPr>
            </w:pPr>
            <w:r>
              <w:rPr>
                <w:rFonts w:hint="eastAsia" w:asciiTheme="majorEastAsia" w:hAnsiTheme="majorEastAsia" w:eastAsiaTheme="majorEastAsia"/>
              </w:rPr>
              <w:t>　○学校施設更新整備方針に基づく整備の太陽光発電施設の整備率</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2014</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0</w:t>
                  </w:r>
                  <w:r>
                    <w:rPr>
                      <w:rFonts w:hint="eastAsia" w:asciiTheme="majorEastAsia" w:hAnsiTheme="majorEastAsia" w:eastAsiaTheme="majorEastAsia"/>
                    </w:rPr>
                    <w:t>％</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100%</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100</w:t>
                  </w:r>
                  <w:r>
                    <w:rPr>
                      <w:rFonts w:hint="eastAsia" w:asciiTheme="majorEastAsia" w:hAnsiTheme="majorEastAsia" w:eastAsiaTheme="majorEastAsia"/>
                    </w:rPr>
                    <w:t>％</w:t>
                  </w:r>
                </w:p>
              </w:tc>
            </w:tr>
          </w:tbl>
          <w:p>
            <w:pPr>
              <w:pStyle w:val="0"/>
              <w:spacing w:line="320" w:lineRule="exact"/>
              <w:rPr>
                <w:rFonts w:hint="default" w:asciiTheme="majorEastAsia" w:hAnsiTheme="majorEastAsia" w:eastAsiaTheme="majorEastAsia"/>
              </w:rPr>
            </w:pPr>
          </w:p>
          <w:p>
            <w:pPr>
              <w:pStyle w:val="0"/>
              <w:spacing w:line="320" w:lineRule="exact"/>
              <w:rPr>
                <w:rFonts w:hint="default" w:asciiTheme="majorEastAsia" w:hAnsiTheme="majorEastAsia" w:eastAsiaTheme="majorEastAsia"/>
              </w:rPr>
            </w:pPr>
          </w:p>
        </w:tc>
      </w:tr>
    </w:tbl>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tbl>
      <w:tblPr>
        <w:tblStyle w:val="34"/>
        <w:tblW w:w="9217" w:type="dxa"/>
        <w:jc w:val="center"/>
        <w:tblInd w:w="0" w:type="dxa"/>
        <w:tblBorders>
          <w:top w:val="single" w:color="FABF8F" w:themeColor="accent6" w:themeTint="99" w:sz="6" w:space="0"/>
          <w:left w:val="single" w:color="FABF8F" w:themeColor="accent6" w:themeTint="99" w:sz="6" w:space="0"/>
          <w:bottom w:val="single" w:color="FABF8F" w:themeColor="accent6" w:themeTint="99" w:sz="6" w:space="0"/>
          <w:right w:val="single" w:color="FABF8F" w:themeColor="accent6" w:themeTint="99" w:sz="6" w:space="0"/>
          <w:insideH w:val="single" w:color="FABF8F" w:themeColor="accent6" w:themeTint="99" w:sz="6" w:space="0"/>
          <w:insideV w:val="single" w:color="FABF8F" w:themeColor="accent6" w:themeTint="99" w:sz="6" w:space="0"/>
        </w:tblBorders>
        <w:tblLayout w:type="fixed"/>
        <w:tblLook w:firstRow="1" w:lastRow="0" w:firstColumn="0" w:lastColumn="0" w:noHBand="1" w:noVBand="1" w:val="0620"/>
      </w:tblPr>
      <w:tblGrid>
        <w:gridCol w:w="9217"/>
      </w:tblGrid>
      <w:tr>
        <w:trPr>
          <w:trHeight w:val="368" w:hRule="atLeast"/>
        </w:trPr>
        <w:tc>
          <w:tcPr>
            <w:tcW w:w="9217" w:type="dxa"/>
            <w:shd w:val="clear" w:color="auto" w:themeFill="accent6"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温暖化対策に対する、市民、事業者への啓発活動や情報の発信・共有等</w:t>
            </w:r>
          </w:p>
          <w:p>
            <w:pPr>
              <w:pStyle w:val="0"/>
              <w:jc w:val="center"/>
              <w:rPr>
                <w:rFonts w:hint="default" w:asciiTheme="majorEastAsia" w:hAnsiTheme="majorEastAsia" w:eastAsiaTheme="majorEastAsia"/>
              </w:rPr>
            </w:pPr>
            <w:r>
              <w:rPr>
                <w:rFonts w:hint="eastAsia" w:asciiTheme="majorEastAsia" w:hAnsiTheme="majorEastAsia" w:eastAsiaTheme="majorEastAsia"/>
              </w:rPr>
              <w:t>（主に家庭部門における取り組み）</w:t>
            </w:r>
          </w:p>
        </w:tc>
      </w:tr>
      <w:tr>
        <w:trPr>
          <w:trHeight w:val="1358" w:hRule="atLeast"/>
        </w:trPr>
        <w:tc>
          <w:tcPr>
            <w:tcW w:w="9217" w:type="dxa"/>
            <w:vAlign w:val="top"/>
          </w:tcPr>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【指標】</w:t>
            </w:r>
          </w:p>
          <w:p>
            <w:pPr>
              <w:pStyle w:val="0"/>
              <w:spacing w:line="320" w:lineRule="exact"/>
              <w:ind w:left="210" w:leftChars="100"/>
              <w:rPr>
                <w:rFonts w:hint="default" w:asciiTheme="majorEastAsia" w:hAnsiTheme="majorEastAsia" w:eastAsiaTheme="majorEastAsia"/>
              </w:rPr>
            </w:pPr>
            <w:r>
              <w:rPr>
                <w:rFonts w:hint="eastAsia" w:asciiTheme="majorEastAsia" w:hAnsiTheme="majorEastAsia" w:eastAsiaTheme="majorEastAsia"/>
                <w:kern w:val="0"/>
                <w:sz w:val="20"/>
              </w:rPr>
              <w:t>○市民団体と市が協働で行う、学校、幼稚園、保育園などへの出前講座の件数</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2014</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6</w:t>
                  </w:r>
                  <w:r>
                    <w:rPr>
                      <w:rFonts w:hint="eastAsia" w:asciiTheme="majorEastAsia" w:hAnsiTheme="majorEastAsia" w:eastAsiaTheme="majorEastAsia"/>
                    </w:rPr>
                    <w:t>件</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4</w:t>
                  </w:r>
                  <w:r>
                    <w:rPr>
                      <w:rFonts w:hint="eastAsia" w:asciiTheme="majorEastAsia" w:hAnsiTheme="majorEastAsia" w:eastAsiaTheme="majorEastAsia"/>
                    </w:rPr>
                    <w:t>件</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50</w:t>
                  </w:r>
                  <w:r>
                    <w:rPr>
                      <w:rFonts w:hint="eastAsia" w:asciiTheme="majorEastAsia" w:hAnsiTheme="majorEastAsia" w:eastAsiaTheme="majorEastAsia"/>
                    </w:rPr>
                    <w:t>件</w:t>
                  </w:r>
                </w:p>
              </w:tc>
            </w:tr>
          </w:tbl>
          <w:p>
            <w:pPr>
              <w:pStyle w:val="0"/>
              <w:spacing w:line="320" w:lineRule="exact"/>
              <w:ind w:left="210" w:hanging="210" w:hangingChars="100"/>
              <w:rPr>
                <w:rFonts w:hint="default" w:asciiTheme="majorEastAsia" w:hAnsiTheme="majorEastAsia" w:eastAsiaTheme="majorEastAsia"/>
              </w:rPr>
            </w:pPr>
          </w:p>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　○</w:t>
            </w:r>
            <w:r>
              <w:rPr>
                <w:rFonts w:hint="eastAsia" w:asciiTheme="majorEastAsia" w:hAnsiTheme="majorEastAsia" w:eastAsiaTheme="majorEastAsia"/>
                <w:kern w:val="0"/>
                <w:sz w:val="20"/>
              </w:rPr>
              <w:t>市民団体と市が協働で行う、地域での環境学習講座の件数</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2014</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3</w:t>
                  </w:r>
                  <w:r>
                    <w:rPr>
                      <w:rFonts w:hint="eastAsia" w:asciiTheme="majorEastAsia" w:hAnsiTheme="majorEastAsia" w:eastAsiaTheme="majorEastAsia"/>
                    </w:rPr>
                    <w:t>件</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1</w:t>
                  </w:r>
                  <w:r>
                    <w:rPr>
                      <w:rFonts w:hint="eastAsia" w:asciiTheme="majorEastAsia" w:hAnsiTheme="majorEastAsia" w:eastAsiaTheme="majorEastAsia"/>
                    </w:rPr>
                    <w:t>件</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30</w:t>
                  </w:r>
                  <w:r>
                    <w:rPr>
                      <w:rFonts w:hint="eastAsia" w:asciiTheme="majorEastAsia" w:hAnsiTheme="majorEastAsia" w:eastAsiaTheme="majorEastAsia"/>
                    </w:rPr>
                    <w:t>件</w:t>
                  </w:r>
                </w:p>
              </w:tc>
            </w:tr>
          </w:tbl>
          <w:p>
            <w:pPr>
              <w:pStyle w:val="0"/>
              <w:spacing w:line="320" w:lineRule="exact"/>
              <w:ind w:left="210" w:hanging="210" w:hangingChars="100"/>
              <w:rPr>
                <w:rFonts w:hint="default" w:asciiTheme="majorEastAsia" w:hAnsiTheme="majorEastAsia" w:eastAsiaTheme="majorEastAsia"/>
              </w:rPr>
            </w:pPr>
          </w:p>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　○</w:t>
            </w:r>
            <w:r>
              <w:rPr>
                <w:rFonts w:hint="eastAsia" w:asciiTheme="majorEastAsia" w:hAnsiTheme="majorEastAsia" w:eastAsiaTheme="majorEastAsia"/>
                <w:kern w:val="0"/>
                <w:sz w:val="20"/>
              </w:rPr>
              <w:t>自然観察会や体験学習の件数</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2014</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年間</w:t>
                  </w:r>
                  <w:r>
                    <w:rPr>
                      <w:rFonts w:hint="eastAsia" w:asciiTheme="majorEastAsia" w:hAnsiTheme="majorEastAsia" w:eastAsiaTheme="majorEastAsia"/>
                    </w:rPr>
                    <w:t>4</w:t>
                  </w:r>
                  <w:r>
                    <w:rPr>
                      <w:rFonts w:hint="eastAsia" w:asciiTheme="majorEastAsia" w:hAnsiTheme="majorEastAsia" w:eastAsiaTheme="majorEastAsia"/>
                    </w:rPr>
                    <w:t>回</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年間</w:t>
                  </w:r>
                  <w:r>
                    <w:rPr>
                      <w:rFonts w:hint="eastAsia" w:asciiTheme="majorEastAsia" w:hAnsiTheme="majorEastAsia" w:eastAsiaTheme="majorEastAsia"/>
                    </w:rPr>
                    <w:t>3</w:t>
                  </w:r>
                  <w:r>
                    <w:rPr>
                      <w:rFonts w:hint="eastAsia" w:asciiTheme="majorEastAsia" w:hAnsiTheme="majorEastAsia" w:eastAsiaTheme="majorEastAsia"/>
                    </w:rPr>
                    <w:t>回</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年間</w:t>
                  </w:r>
                  <w:r>
                    <w:rPr>
                      <w:rFonts w:hint="eastAsia" w:asciiTheme="majorEastAsia" w:hAnsiTheme="majorEastAsia" w:eastAsiaTheme="majorEastAsia"/>
                    </w:rPr>
                    <w:t>8</w:t>
                  </w:r>
                  <w:r>
                    <w:rPr>
                      <w:rFonts w:hint="eastAsia" w:asciiTheme="majorEastAsia" w:hAnsiTheme="majorEastAsia" w:eastAsiaTheme="majorEastAsia"/>
                    </w:rPr>
                    <w:t>回</w:t>
                  </w:r>
                </w:p>
              </w:tc>
            </w:tr>
          </w:tbl>
          <w:p>
            <w:pPr>
              <w:pStyle w:val="0"/>
              <w:spacing w:line="320" w:lineRule="exact"/>
              <w:ind w:left="210" w:hanging="210" w:hangingChars="100"/>
              <w:rPr>
                <w:rFonts w:hint="default" w:asciiTheme="majorEastAsia" w:hAnsiTheme="majorEastAsia" w:eastAsiaTheme="majorEastAsia"/>
              </w:rPr>
            </w:pPr>
          </w:p>
          <w:p>
            <w:pPr>
              <w:pStyle w:val="0"/>
              <w:spacing w:line="320" w:lineRule="exact"/>
              <w:ind w:firstLine="420" w:firstLineChars="200"/>
              <w:rPr>
                <w:rFonts w:hint="default" w:asciiTheme="majorEastAsia" w:hAnsiTheme="majorEastAsia" w:eastAsiaTheme="majorEastAsia"/>
              </w:rPr>
            </w:pPr>
          </w:p>
        </w:tc>
      </w:tr>
    </w:tbl>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br w:type="page"/>
      </w:r>
    </w:p>
    <w:tbl>
      <w:tblPr>
        <w:tblStyle w:val="34"/>
        <w:tblW w:w="9078" w:type="dxa"/>
        <w:jc w:val="center"/>
        <w:tblInd w:w="0" w:type="dxa"/>
        <w:tblBorders>
          <w:top w:val="single" w:color="FABF8F" w:themeColor="accent6" w:themeTint="99" w:sz="6" w:space="0"/>
          <w:left w:val="single" w:color="FABF8F" w:themeColor="accent6" w:themeTint="99" w:sz="6" w:space="0"/>
          <w:bottom w:val="single" w:color="FABF8F" w:themeColor="accent6" w:themeTint="99" w:sz="6" w:space="0"/>
          <w:right w:val="single" w:color="FABF8F" w:themeColor="accent6" w:themeTint="99" w:sz="6" w:space="0"/>
          <w:insideH w:val="single" w:color="FABF8F" w:themeColor="accent6" w:themeTint="99" w:sz="6" w:space="0"/>
          <w:insideV w:val="single" w:color="FABF8F" w:themeColor="accent6" w:themeTint="99" w:sz="6" w:space="0"/>
        </w:tblBorders>
        <w:tblLayout w:type="fixed"/>
        <w:tblLook w:firstRow="1" w:lastRow="0" w:firstColumn="0" w:lastColumn="0" w:noHBand="1" w:noVBand="1" w:val="0620"/>
      </w:tblPr>
      <w:tblGrid>
        <w:gridCol w:w="9078"/>
      </w:tblGrid>
      <w:tr>
        <w:trPr>
          <w:trHeight w:val="377" w:hRule="atLeast"/>
        </w:trPr>
        <w:tc>
          <w:tcPr>
            <w:tcW w:w="9078" w:type="dxa"/>
            <w:shd w:val="clear" w:color="auto" w:themeFill="accent6"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温暖化対策に対する市の取り組み</w:t>
            </w:r>
          </w:p>
          <w:p>
            <w:pPr>
              <w:pStyle w:val="0"/>
              <w:jc w:val="center"/>
              <w:rPr>
                <w:rFonts w:hint="default" w:asciiTheme="majorEastAsia" w:hAnsiTheme="majorEastAsia" w:eastAsiaTheme="majorEastAsia"/>
              </w:rPr>
            </w:pPr>
            <w:r>
              <w:rPr>
                <w:rFonts w:hint="eastAsia" w:asciiTheme="majorEastAsia" w:hAnsiTheme="majorEastAsia" w:eastAsiaTheme="majorEastAsia"/>
              </w:rPr>
              <w:t>（横断的な取り組み）</w:t>
            </w:r>
          </w:p>
        </w:tc>
      </w:tr>
      <w:tr>
        <w:trPr>
          <w:trHeight w:val="4049" w:hRule="atLeast"/>
        </w:trPr>
        <w:tc>
          <w:tcPr>
            <w:tcW w:w="9078" w:type="dxa"/>
            <w:vAlign w:val="top"/>
          </w:tcPr>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【指標】</w:t>
            </w:r>
          </w:p>
          <w:p>
            <w:pPr>
              <w:pStyle w:val="0"/>
              <w:spacing w:line="320" w:lineRule="exact"/>
              <w:ind w:left="210" w:leftChars="100"/>
              <w:rPr>
                <w:rFonts w:hint="default" w:asciiTheme="majorEastAsia" w:hAnsiTheme="majorEastAsia" w:eastAsiaTheme="majorEastAsia"/>
              </w:rPr>
            </w:pPr>
            <w:r>
              <w:rPr>
                <w:rFonts w:hint="eastAsia" w:asciiTheme="majorEastAsia" w:hAnsiTheme="majorEastAsia" w:eastAsiaTheme="majorEastAsia"/>
              </w:rPr>
              <w:t>○ノーマイカーデーへの参加による節減距離</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2013</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2,665km</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2,235</w:t>
                  </w:r>
                  <w:r>
                    <w:rPr>
                      <w:rFonts w:hint="eastAsia" w:asciiTheme="majorEastAsia" w:hAnsiTheme="majorEastAsia" w:eastAsiaTheme="majorEastAsia"/>
                    </w:rPr>
                    <w:t>㎞</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3,031km</w:t>
                  </w:r>
                </w:p>
              </w:tc>
            </w:tr>
          </w:tbl>
          <w:p>
            <w:pPr>
              <w:pStyle w:val="0"/>
              <w:spacing w:line="320" w:lineRule="exact"/>
              <w:rPr>
                <w:rFonts w:hint="default" w:asciiTheme="majorEastAsia" w:hAnsiTheme="majorEastAsia" w:eastAsiaTheme="majorEastAsia"/>
              </w:rPr>
            </w:pPr>
          </w:p>
          <w:p>
            <w:pPr>
              <w:pStyle w:val="0"/>
              <w:spacing w:line="320" w:lineRule="exact"/>
              <w:ind w:left="210" w:leftChars="100"/>
              <w:rPr>
                <w:rFonts w:hint="default" w:asciiTheme="majorEastAsia" w:hAnsiTheme="majorEastAsia" w:eastAsiaTheme="majorEastAsia"/>
              </w:rPr>
            </w:pPr>
            <w:r>
              <w:rPr>
                <w:rFonts w:hint="eastAsia" w:asciiTheme="majorEastAsia" w:hAnsiTheme="majorEastAsia" w:eastAsiaTheme="majorEastAsia"/>
              </w:rPr>
              <w:t>○スマート通勤おかやまへの参加による</w:t>
            </w:r>
            <w:r>
              <w:rPr>
                <w:rFonts w:hint="eastAsia" w:asciiTheme="majorEastAsia" w:hAnsiTheme="majorEastAsia" w:eastAsiaTheme="majorEastAsia"/>
              </w:rPr>
              <w:t>CO</w:t>
            </w:r>
            <w:r>
              <w:rPr>
                <w:rFonts w:hint="eastAsia" w:asciiTheme="majorEastAsia" w:hAnsiTheme="majorEastAsia" w:eastAsiaTheme="majorEastAsia"/>
              </w:rPr>
              <w:t>₂削減量</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2013</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color w:val="000000" w:themeColor="text1"/>
                    </w:rPr>
                    <w:t>236.1kg</w:t>
                  </w:r>
                  <w:r>
                    <w:rPr>
                      <w:rFonts w:hint="eastAsia" w:asciiTheme="majorEastAsia" w:hAnsiTheme="majorEastAsia" w:eastAsiaTheme="majorEastAsia"/>
                    </w:rPr>
                    <w:t>-CO</w:t>
                  </w:r>
                  <w:r>
                    <w:rPr>
                      <w:rFonts w:hint="eastAsia" w:asciiTheme="majorEastAsia" w:hAnsiTheme="majorEastAsia" w:eastAsiaTheme="majorEastAsia"/>
                    </w:rPr>
                    <w:t>₂</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vertAlign w:val="subscript"/>
                    </w:rPr>
                  </w:pPr>
                  <w:r>
                    <w:rPr>
                      <w:rFonts w:hint="eastAsia" w:asciiTheme="majorEastAsia" w:hAnsiTheme="majorEastAsia" w:eastAsiaTheme="majorEastAsia"/>
                      <w:highlight w:val="none"/>
                    </w:rPr>
                    <w:t>944.0</w:t>
                  </w:r>
                  <w:r>
                    <w:rPr>
                      <w:rFonts w:hint="eastAsia" w:asciiTheme="majorEastAsia" w:hAnsiTheme="majorEastAsia" w:eastAsiaTheme="majorEastAsia"/>
                    </w:rPr>
                    <w:t>㎏</w:t>
                  </w:r>
                  <w:r>
                    <w:rPr>
                      <w:rFonts w:hint="eastAsia" w:asciiTheme="majorEastAsia" w:hAnsiTheme="majorEastAsia" w:eastAsiaTheme="majorEastAsia"/>
                    </w:rPr>
                    <w:t>-CO</w:t>
                  </w:r>
                  <w:r>
                    <w:rPr>
                      <w:rFonts w:hint="eastAsia" w:asciiTheme="majorEastAsia" w:hAnsiTheme="majorEastAsia" w:eastAsiaTheme="majorEastAsia"/>
                      <w:vertAlign w:val="subscript"/>
                    </w:rPr>
                    <w:t>2</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259.6kg-CO</w:t>
                  </w:r>
                  <w:r>
                    <w:rPr>
                      <w:rFonts w:hint="eastAsia" w:asciiTheme="majorEastAsia" w:hAnsiTheme="majorEastAsia" w:eastAsiaTheme="majorEastAsia"/>
                    </w:rPr>
                    <w:t>₂</w:t>
                  </w:r>
                </w:p>
              </w:tc>
            </w:tr>
          </w:tbl>
          <w:p>
            <w:pPr>
              <w:pStyle w:val="0"/>
              <w:spacing w:line="320" w:lineRule="exact"/>
              <w:ind w:left="210" w:leftChars="100"/>
              <w:rPr>
                <w:rFonts w:hint="default" w:asciiTheme="majorEastAsia" w:hAnsiTheme="majorEastAsia" w:eastAsiaTheme="majorEastAsia"/>
              </w:rPr>
            </w:pPr>
          </w:p>
          <w:p>
            <w:pPr>
              <w:pStyle w:val="0"/>
              <w:spacing w:line="320" w:lineRule="exact"/>
              <w:rPr>
                <w:rFonts w:hint="default" w:asciiTheme="majorEastAsia" w:hAnsiTheme="majorEastAsia" w:eastAsiaTheme="majorEastAsia"/>
              </w:rPr>
            </w:pPr>
            <w:r>
              <w:rPr>
                <w:rFonts w:hint="eastAsia" w:asciiTheme="majorEastAsia" w:hAnsiTheme="majorEastAsia" w:eastAsiaTheme="majorEastAsia"/>
              </w:rPr>
              <w:t>　○カーボンオフセット商品数</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2014</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color w:val="000000" w:themeColor="text1"/>
                    </w:rPr>
                    <w:t>15</w:t>
                  </w:r>
                  <w:r>
                    <w:rPr>
                      <w:rFonts w:hint="eastAsia" w:asciiTheme="majorEastAsia" w:hAnsiTheme="majorEastAsia" w:eastAsiaTheme="majorEastAsia"/>
                      <w:color w:val="000000" w:themeColor="text1"/>
                    </w:rPr>
                    <w:t>品目</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26</w:t>
                  </w:r>
                  <w:r>
                    <w:rPr>
                      <w:rFonts w:hint="eastAsia" w:asciiTheme="majorEastAsia" w:hAnsiTheme="majorEastAsia" w:eastAsiaTheme="majorEastAsia"/>
                    </w:rPr>
                    <w:t>品目</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25</w:t>
                  </w:r>
                  <w:r>
                    <w:rPr>
                      <w:rFonts w:hint="eastAsia" w:asciiTheme="majorEastAsia" w:hAnsiTheme="majorEastAsia" w:eastAsiaTheme="majorEastAsia"/>
                    </w:rPr>
                    <w:t>品目</w:t>
                  </w:r>
                </w:p>
              </w:tc>
            </w:tr>
          </w:tbl>
          <w:p>
            <w:pPr>
              <w:pStyle w:val="0"/>
              <w:spacing w:line="320" w:lineRule="exact"/>
              <w:rPr>
                <w:rFonts w:hint="default" w:asciiTheme="majorEastAsia" w:hAnsiTheme="majorEastAsia" w:eastAsiaTheme="majorEastAsia"/>
              </w:rPr>
            </w:pPr>
            <w:r>
              <w:rPr>
                <w:rFonts w:hint="eastAsia" w:asciiTheme="majorEastAsia" w:hAnsiTheme="majorEastAsia" w:eastAsiaTheme="majorEastAsia"/>
              </w:rPr>
              <w:t>　　</w:t>
            </w:r>
          </w:p>
          <w:p>
            <w:pPr>
              <w:pStyle w:val="0"/>
              <w:spacing w:line="320" w:lineRule="exact"/>
              <w:ind w:left="210" w:leftChars="100"/>
              <w:rPr>
                <w:rFonts w:hint="default" w:asciiTheme="majorEastAsia" w:hAnsiTheme="majorEastAsia" w:eastAsiaTheme="majorEastAsia"/>
              </w:rPr>
            </w:pPr>
            <w:r>
              <w:rPr>
                <w:rFonts w:hint="eastAsia" w:asciiTheme="majorEastAsia" w:hAnsiTheme="majorEastAsia" w:eastAsiaTheme="majorEastAsia"/>
              </w:rPr>
              <w:t>○新規植林面積</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2014</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13ha</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16.16</w:t>
                  </w:r>
                  <w:r>
                    <w:rPr>
                      <w:rFonts w:hint="eastAsia" w:asciiTheme="majorEastAsia" w:hAnsiTheme="majorEastAsia" w:eastAsiaTheme="majorEastAsia"/>
                    </w:rPr>
                    <w:t>ha</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66ha</w:t>
                  </w:r>
                </w:p>
              </w:tc>
            </w:tr>
          </w:tbl>
          <w:p>
            <w:pPr>
              <w:pStyle w:val="0"/>
              <w:spacing w:line="320" w:lineRule="exact"/>
              <w:ind w:left="210" w:leftChars="100"/>
              <w:rPr>
                <w:rFonts w:hint="default" w:asciiTheme="majorEastAsia" w:hAnsiTheme="majorEastAsia" w:eastAsiaTheme="majorEastAsia"/>
              </w:rPr>
            </w:pPr>
          </w:p>
          <w:p>
            <w:pPr>
              <w:pStyle w:val="0"/>
              <w:spacing w:line="320" w:lineRule="exact"/>
              <w:ind w:firstLine="210" w:firstLineChars="100"/>
              <w:rPr>
                <w:rFonts w:hint="default" w:asciiTheme="majorEastAsia" w:hAnsiTheme="majorEastAsia" w:eastAsiaTheme="majorEastAsia"/>
              </w:rPr>
            </w:pPr>
            <w:r>
              <w:rPr>
                <w:rFonts w:hint="eastAsia" w:asciiTheme="majorEastAsia" w:hAnsiTheme="majorEastAsia" w:eastAsiaTheme="majorEastAsia"/>
              </w:rPr>
              <w:t>○都市計画道路の整備率</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2014</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66.4</w:t>
                  </w:r>
                  <w:r>
                    <w:rPr>
                      <w:rFonts w:hint="eastAsia" w:asciiTheme="majorEastAsia" w:hAnsiTheme="majorEastAsia" w:eastAsiaTheme="majorEastAsia"/>
                    </w:rPr>
                    <w:t>％</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68.2</w:t>
                  </w:r>
                  <w:r>
                    <w:rPr>
                      <w:rFonts w:hint="eastAsia" w:asciiTheme="majorEastAsia" w:hAnsiTheme="majorEastAsia" w:eastAsiaTheme="majorEastAsia"/>
                    </w:rPr>
                    <w:t>％</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75.0</w:t>
                  </w:r>
                  <w:r>
                    <w:rPr>
                      <w:rFonts w:hint="eastAsia" w:asciiTheme="majorEastAsia" w:hAnsiTheme="majorEastAsia" w:eastAsiaTheme="majorEastAsia"/>
                    </w:rPr>
                    <w:t>％</w:t>
                  </w:r>
                </w:p>
              </w:tc>
            </w:tr>
          </w:tbl>
          <w:p>
            <w:pPr>
              <w:pStyle w:val="0"/>
              <w:spacing w:line="320" w:lineRule="exact"/>
              <w:ind w:firstLine="210" w:firstLineChars="100"/>
              <w:rPr>
                <w:rFonts w:hint="default" w:asciiTheme="majorEastAsia" w:hAnsiTheme="majorEastAsia" w:eastAsiaTheme="majorEastAsia"/>
              </w:rPr>
            </w:pPr>
          </w:p>
          <w:p>
            <w:pPr>
              <w:pStyle w:val="0"/>
              <w:spacing w:line="320" w:lineRule="exact"/>
              <w:ind w:firstLine="210" w:firstLineChars="100"/>
              <w:rPr>
                <w:rFonts w:hint="default" w:asciiTheme="majorEastAsia" w:hAnsiTheme="majorEastAsia" w:eastAsiaTheme="majorEastAsia"/>
              </w:rPr>
            </w:pPr>
          </w:p>
        </w:tc>
      </w:tr>
    </w:tbl>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tbl>
      <w:tblPr>
        <w:tblStyle w:val="34"/>
        <w:tblW w:w="9078" w:type="dxa"/>
        <w:jc w:val="center"/>
        <w:tblInd w:w="0" w:type="dxa"/>
        <w:tblBorders>
          <w:top w:val="single" w:color="FABF8F" w:themeColor="accent6" w:themeTint="99" w:sz="6" w:space="0"/>
          <w:left w:val="single" w:color="FABF8F" w:themeColor="accent6" w:themeTint="99" w:sz="6" w:space="0"/>
          <w:bottom w:val="single" w:color="FABF8F" w:themeColor="accent6" w:themeTint="99" w:sz="6" w:space="0"/>
          <w:right w:val="single" w:color="FABF8F" w:themeColor="accent6" w:themeTint="99" w:sz="6" w:space="0"/>
          <w:insideH w:val="single" w:color="FABF8F" w:themeColor="accent6" w:themeTint="99" w:sz="6" w:space="0"/>
          <w:insideV w:val="single" w:color="FABF8F" w:themeColor="accent6" w:themeTint="99" w:sz="6" w:space="0"/>
        </w:tblBorders>
        <w:tblLayout w:type="fixed"/>
        <w:tblLook w:firstRow="1" w:lastRow="0" w:firstColumn="0" w:lastColumn="0" w:noHBand="1" w:noVBand="1" w:val="0620"/>
      </w:tblPr>
      <w:tblGrid>
        <w:gridCol w:w="9078"/>
      </w:tblGrid>
      <w:tr>
        <w:trPr>
          <w:trHeight w:val="377" w:hRule="atLeast"/>
        </w:trPr>
        <w:tc>
          <w:tcPr>
            <w:tcW w:w="9078" w:type="dxa"/>
            <w:shd w:val="clear" w:color="auto" w:themeFill="accent6"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その他市の取り組み</w:t>
            </w:r>
          </w:p>
          <w:p>
            <w:pPr>
              <w:pStyle w:val="0"/>
              <w:jc w:val="center"/>
              <w:rPr>
                <w:rFonts w:hint="default" w:asciiTheme="majorEastAsia" w:hAnsiTheme="majorEastAsia" w:eastAsiaTheme="majorEastAsia"/>
              </w:rPr>
            </w:pPr>
            <w:r>
              <w:rPr>
                <w:rFonts w:hint="eastAsia" w:asciiTheme="majorEastAsia" w:hAnsiTheme="majorEastAsia" w:eastAsiaTheme="majorEastAsia"/>
              </w:rPr>
              <w:t>（横断的な取り組み）</w:t>
            </w:r>
          </w:p>
        </w:tc>
      </w:tr>
      <w:tr>
        <w:trPr>
          <w:trHeight w:val="7682" w:hRule="atLeast"/>
        </w:trPr>
        <w:tc>
          <w:tcPr>
            <w:tcW w:w="9078" w:type="dxa"/>
            <w:vAlign w:val="top"/>
          </w:tcPr>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【指標】</w:t>
            </w:r>
          </w:p>
          <w:p>
            <w:pPr>
              <w:pStyle w:val="0"/>
              <w:spacing w:line="320" w:lineRule="exact"/>
              <w:ind w:left="210" w:hanging="210" w:hangingChars="100"/>
              <w:rPr>
                <w:rFonts w:hint="default" w:asciiTheme="majorEastAsia" w:hAnsiTheme="majorEastAsia" w:eastAsiaTheme="majorEastAsia"/>
              </w:rPr>
            </w:pPr>
            <w:r>
              <w:rPr>
                <w:rFonts w:hint="eastAsia" w:asciiTheme="majorEastAsia" w:hAnsiTheme="majorEastAsia" w:eastAsiaTheme="majorEastAsia"/>
              </w:rPr>
              <w:t>　○汚水処理人口普及率</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2014</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68.3</w:t>
                  </w:r>
                  <w:r>
                    <w:rPr>
                      <w:rFonts w:hint="eastAsia" w:asciiTheme="majorEastAsia" w:hAnsiTheme="majorEastAsia" w:eastAsiaTheme="majorEastAsia"/>
                    </w:rPr>
                    <w:t>％</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74.5</w:t>
                  </w:r>
                  <w:r>
                    <w:rPr>
                      <w:rFonts w:hint="eastAsia" w:asciiTheme="majorEastAsia" w:hAnsiTheme="majorEastAsia" w:eastAsiaTheme="majorEastAsia"/>
                    </w:rPr>
                    <w:t>％</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80</w:t>
                  </w:r>
                  <w:r>
                    <w:rPr>
                      <w:rFonts w:hint="eastAsia" w:asciiTheme="majorEastAsia" w:hAnsiTheme="majorEastAsia" w:eastAsiaTheme="majorEastAsia"/>
                    </w:rPr>
                    <w:t>％</w:t>
                  </w:r>
                </w:p>
              </w:tc>
            </w:tr>
          </w:tbl>
          <w:p>
            <w:pPr>
              <w:pStyle w:val="0"/>
              <w:spacing w:line="320" w:lineRule="exact"/>
              <w:ind w:left="210" w:hanging="210" w:hangingChars="100"/>
              <w:rPr>
                <w:rFonts w:hint="default" w:asciiTheme="majorEastAsia" w:hAnsiTheme="majorEastAsia" w:eastAsiaTheme="majorEastAsia"/>
              </w:rPr>
            </w:pPr>
          </w:p>
          <w:p>
            <w:pPr>
              <w:pStyle w:val="0"/>
              <w:spacing w:line="320" w:lineRule="exact"/>
              <w:ind w:left="210" w:leftChars="100"/>
              <w:rPr>
                <w:rFonts w:hint="default" w:asciiTheme="majorEastAsia" w:hAnsiTheme="majorEastAsia" w:eastAsiaTheme="majorEastAsia"/>
              </w:rPr>
            </w:pPr>
            <w:r>
              <w:rPr>
                <w:rFonts w:hint="eastAsia" w:asciiTheme="majorEastAsia" w:hAnsiTheme="majorEastAsia" w:eastAsiaTheme="majorEastAsia"/>
              </w:rPr>
              <w:t>○学校給食への津山産小麦使用量</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2014</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0t</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0</w:t>
                  </w:r>
                  <w:r>
                    <w:rPr>
                      <w:rFonts w:hint="eastAsia" w:asciiTheme="majorEastAsia" w:hAnsiTheme="majorEastAsia" w:eastAsiaTheme="majorEastAsia"/>
                    </w:rPr>
                    <w:t>t</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51t</w:t>
                  </w:r>
                </w:p>
              </w:tc>
            </w:tr>
          </w:tbl>
          <w:p>
            <w:pPr>
              <w:pStyle w:val="0"/>
              <w:spacing w:line="320" w:lineRule="exact"/>
              <w:rPr>
                <w:rFonts w:hint="default" w:asciiTheme="majorEastAsia" w:hAnsiTheme="majorEastAsia" w:eastAsiaTheme="majorEastAsia"/>
              </w:rPr>
            </w:pPr>
            <w:r>
              <w:rPr>
                <w:rFonts w:hint="eastAsia" w:asciiTheme="majorEastAsia" w:hAnsiTheme="majorEastAsia" w:eastAsiaTheme="majorEastAsia"/>
              </w:rPr>
              <w:t>　　※２０１８年度末をもって事業廃止のため実績なし</w:t>
            </w:r>
          </w:p>
          <w:p>
            <w:pPr>
              <w:pStyle w:val="0"/>
              <w:spacing w:line="320" w:lineRule="exact"/>
              <w:rPr>
                <w:rFonts w:hint="default" w:asciiTheme="majorEastAsia" w:hAnsiTheme="majorEastAsia" w:eastAsiaTheme="majorEastAsia"/>
              </w:rPr>
            </w:pPr>
          </w:p>
          <w:p>
            <w:pPr>
              <w:pStyle w:val="0"/>
              <w:spacing w:line="320" w:lineRule="exact"/>
              <w:ind w:left="210" w:leftChars="100"/>
              <w:rPr>
                <w:rFonts w:hint="default" w:asciiTheme="majorEastAsia" w:hAnsiTheme="majorEastAsia" w:eastAsiaTheme="majorEastAsia"/>
              </w:rPr>
            </w:pPr>
            <w:r>
              <w:rPr>
                <w:rFonts w:hint="eastAsia" w:asciiTheme="majorEastAsia" w:hAnsiTheme="majorEastAsia" w:eastAsiaTheme="majorEastAsia"/>
              </w:rPr>
              <w:t>○学校給食に地場産食材を使用する割合</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2014</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46.1</w:t>
                  </w:r>
                  <w:r>
                    <w:rPr>
                      <w:rFonts w:hint="eastAsia" w:asciiTheme="majorEastAsia" w:hAnsiTheme="majorEastAsia" w:eastAsiaTheme="majorEastAsia"/>
                    </w:rPr>
                    <w:t>％</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52.2</w:t>
                  </w:r>
                  <w:r>
                    <w:rPr>
                      <w:rFonts w:hint="eastAsia" w:asciiTheme="majorEastAsia" w:hAnsiTheme="majorEastAsia" w:eastAsiaTheme="majorEastAsia"/>
                    </w:rPr>
                    <w:t>%</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47</w:t>
                  </w:r>
                  <w:r>
                    <w:rPr>
                      <w:rFonts w:hint="eastAsia" w:asciiTheme="majorEastAsia" w:hAnsiTheme="majorEastAsia" w:eastAsiaTheme="majorEastAsia"/>
                    </w:rPr>
                    <w:t>％</w:t>
                  </w:r>
                </w:p>
              </w:tc>
            </w:tr>
          </w:tbl>
          <w:p>
            <w:pPr>
              <w:pStyle w:val="0"/>
              <w:spacing w:line="320" w:lineRule="exact"/>
              <w:ind w:left="210" w:leftChars="100"/>
              <w:rPr>
                <w:rFonts w:hint="default" w:asciiTheme="majorEastAsia" w:hAnsiTheme="majorEastAsia" w:eastAsiaTheme="majorEastAsia"/>
              </w:rPr>
            </w:pPr>
          </w:p>
          <w:p>
            <w:pPr>
              <w:pStyle w:val="0"/>
              <w:spacing w:line="320" w:lineRule="exact"/>
              <w:rPr>
                <w:rFonts w:hint="default" w:asciiTheme="majorEastAsia" w:hAnsiTheme="majorEastAsia" w:eastAsiaTheme="majorEastAsia"/>
              </w:rPr>
            </w:pPr>
            <w:r>
              <w:rPr>
                <w:rFonts w:hint="eastAsia" w:asciiTheme="majorEastAsia" w:hAnsiTheme="majorEastAsia" w:eastAsiaTheme="majorEastAsia"/>
              </w:rPr>
              <w:t>　○空き家の除去等改善済み件数</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2014</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7</w:t>
                  </w:r>
                  <w:r>
                    <w:rPr>
                      <w:rFonts w:hint="eastAsia" w:asciiTheme="majorEastAsia" w:hAnsiTheme="majorEastAsia" w:eastAsiaTheme="majorEastAsia"/>
                    </w:rPr>
                    <w:t>件</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highlight w:val="none"/>
                    </w:rPr>
                    <w:t>64</w:t>
                  </w:r>
                  <w:r>
                    <w:rPr>
                      <w:rFonts w:hint="eastAsia" w:asciiTheme="majorEastAsia" w:hAnsiTheme="majorEastAsia" w:eastAsiaTheme="majorEastAsia"/>
                    </w:rPr>
                    <w:t>件</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100</w:t>
                  </w:r>
                  <w:r>
                    <w:rPr>
                      <w:rFonts w:hint="eastAsia" w:asciiTheme="majorEastAsia" w:hAnsiTheme="majorEastAsia" w:eastAsiaTheme="majorEastAsia"/>
                    </w:rPr>
                    <w:t>件</w:t>
                  </w:r>
                </w:p>
              </w:tc>
            </w:tr>
          </w:tbl>
          <w:p>
            <w:pPr>
              <w:pStyle w:val="0"/>
              <w:spacing w:line="320" w:lineRule="exact"/>
              <w:rPr>
                <w:rFonts w:hint="default" w:asciiTheme="majorEastAsia" w:hAnsiTheme="majorEastAsia" w:eastAsiaTheme="majorEastAsia"/>
              </w:rPr>
            </w:pPr>
          </w:p>
          <w:p>
            <w:pPr>
              <w:pStyle w:val="28"/>
              <w:numPr>
                <w:ilvl w:val="0"/>
                <w:numId w:val="3"/>
              </w:numPr>
              <w:spacing w:line="320" w:lineRule="exact"/>
              <w:ind w:leftChars="0"/>
              <w:rPr>
                <w:rFonts w:hint="default" w:asciiTheme="majorEastAsia" w:hAnsiTheme="majorEastAsia" w:eastAsiaTheme="majorEastAsia"/>
              </w:rPr>
            </w:pPr>
            <w:r>
              <w:rPr>
                <w:rFonts w:hint="eastAsia" w:asciiTheme="majorEastAsia" w:hAnsiTheme="majorEastAsia" w:eastAsiaTheme="majorEastAsia"/>
              </w:rPr>
              <w:t>間伐材の利用拡大による（発電等）搬出量の増加</w:t>
            </w:r>
          </w:p>
          <w:tbl>
            <w:tblPr>
              <w:tblStyle w:val="35"/>
              <w:tblW w:w="8005" w:type="dxa"/>
              <w:tblInd w:w="3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themeFill="background1" w:themeFillTint="FF" w:themeFillShade="D9"/>
              <w:tblLayout w:type="fixed"/>
              <w:tblLook w:firstRow="1" w:lastRow="0" w:firstColumn="0" w:lastColumn="0" w:noHBand="1" w:noVBand="1" w:val="0620"/>
            </w:tblPr>
            <w:tblGrid>
              <w:gridCol w:w="2668"/>
              <w:gridCol w:w="2668"/>
              <w:gridCol w:w="2669"/>
            </w:tblGrid>
            <w:tr>
              <w:trPr>
                <w:trHeight w:val="342"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2014</w:t>
                  </w:r>
                  <w:r>
                    <w:rPr>
                      <w:rFonts w:hint="eastAsia" w:asciiTheme="majorEastAsia" w:hAnsiTheme="majorEastAsia" w:eastAsiaTheme="majorEastAsia"/>
                    </w:rPr>
                    <w:t>年度（基準値）</w:t>
                  </w:r>
                </w:p>
              </w:tc>
              <w:tc>
                <w:tcPr>
                  <w:tcW w:w="2668" w:type="dxa"/>
                  <w:tcBorders>
                    <w:top w:val="triple" w:color="auto" w:sz="4" w:space="0"/>
                    <w:left w:val="triple" w:color="auto" w:sz="4" w:space="0"/>
                    <w:bottom w:val="single" w:color="auto" w:sz="6" w:space="0"/>
                    <w:right w:val="triple" w:color="auto" w:sz="4"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2019</w:t>
                  </w:r>
                  <w:r>
                    <w:rPr>
                      <w:rFonts w:hint="eastAsia" w:asciiTheme="majorEastAsia" w:hAnsiTheme="majorEastAsia" w:eastAsiaTheme="majorEastAsia"/>
                    </w:rPr>
                    <w:t>年度</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accent5" w:themeFillTint="33" w:themeFillShade="FF"/>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2025</w:t>
                  </w:r>
                  <w:r>
                    <w:rPr>
                      <w:rFonts w:hint="eastAsia" w:asciiTheme="majorEastAsia" w:hAnsiTheme="majorEastAsia" w:eastAsiaTheme="majorEastAsia"/>
                    </w:rPr>
                    <w:t>年度（目標値）</w:t>
                  </w:r>
                </w:p>
              </w:tc>
            </w:tr>
            <w:tr>
              <w:trPr>
                <w:trHeight w:val="340" w:hRule="atLeast"/>
              </w:trPr>
              <w:tc>
                <w:tcPr>
                  <w:tcW w:w="2668" w:type="dxa"/>
                  <w:tcBorders>
                    <w:top w:val="none" w:color="auto" w:sz="0" w:space="0"/>
                    <w:left w:val="none" w:color="auto" w:sz="0" w:space="0"/>
                    <w:bottom w:val="none" w:color="auto" w:sz="0"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vertAlign w:val="superscript"/>
                    </w:rPr>
                  </w:pPr>
                  <w:r>
                    <w:rPr>
                      <w:rFonts w:hint="eastAsia" w:asciiTheme="majorEastAsia" w:hAnsiTheme="majorEastAsia" w:eastAsiaTheme="majorEastAsia"/>
                    </w:rPr>
                    <w:t>17,300m</w:t>
                  </w:r>
                  <w:r>
                    <w:rPr>
                      <w:rFonts w:hint="eastAsia" w:asciiTheme="majorEastAsia" w:hAnsiTheme="majorEastAsia" w:eastAsiaTheme="majorEastAsia"/>
                      <w:vertAlign w:val="superscript"/>
                    </w:rPr>
                    <w:t>3</w:t>
                  </w:r>
                </w:p>
              </w:tc>
              <w:tc>
                <w:tcPr>
                  <w:tcW w:w="2668" w:type="dxa"/>
                  <w:tcBorders>
                    <w:top w:val="single" w:color="auto" w:sz="6" w:space="0"/>
                    <w:left w:val="triple" w:color="auto" w:sz="4" w:space="0"/>
                    <w:bottom w:val="triple" w:color="auto" w:sz="4" w:space="0"/>
                    <w:right w:val="triple" w:color="auto" w:sz="4"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color w:val="000000"/>
                      <w:sz w:val="20"/>
                      <w:vertAlign w:val="superscript"/>
                    </w:rPr>
                  </w:pPr>
                  <w:r>
                    <w:rPr>
                      <w:rFonts w:hint="eastAsia" w:asciiTheme="majorEastAsia" w:hAnsiTheme="majorEastAsia" w:eastAsiaTheme="majorEastAsia"/>
                      <w:highlight w:val="none"/>
                    </w:rPr>
                    <w:t>35,476</w:t>
                  </w:r>
                  <w:r>
                    <w:rPr>
                      <w:rFonts w:hint="eastAsia" w:asciiTheme="majorEastAsia" w:hAnsiTheme="majorEastAsia" w:eastAsiaTheme="majorEastAsia"/>
                    </w:rPr>
                    <w:t>m</w:t>
                  </w:r>
                  <w:r>
                    <w:rPr>
                      <w:rFonts w:hint="eastAsia" w:asciiTheme="majorEastAsia" w:hAnsiTheme="majorEastAsia" w:eastAsiaTheme="majorEastAsia"/>
                      <w:vertAlign w:val="superscript"/>
                    </w:rPr>
                    <w:t>3</w:t>
                  </w:r>
                </w:p>
              </w:tc>
              <w:tc>
                <w:tcPr>
                  <w:tcW w:w="2669" w:type="dxa"/>
                  <w:tcBorders>
                    <w:top w:val="none" w:color="auto" w:sz="0" w:space="0"/>
                    <w:left w:val="triple" w:color="auto" w:sz="4" w:space="0"/>
                    <w:bottom w:val="none" w:color="auto" w:sz="0" w:space="0"/>
                    <w:right w:val="none" w:color="auto" w:sz="0" w:space="0"/>
                    <w:tl2br w:val="none" w:color="auto" w:sz="0" w:space="0"/>
                    <w:tr2bl w:val="none" w:color="auto" w:sz="0" w:space="0"/>
                  </w:tcBorders>
                  <w:shd w:val="clear" w:color="auto" w:themeFill="background1" w:themeFillTint="FF" w:themeFillShade="FF"/>
                  <w:vAlign w:val="top"/>
                </w:tcPr>
                <w:p>
                  <w:pPr>
                    <w:pStyle w:val="0"/>
                    <w:jc w:val="center"/>
                    <w:rPr>
                      <w:rFonts w:hint="default" w:asciiTheme="majorEastAsia" w:hAnsiTheme="majorEastAsia" w:eastAsiaTheme="majorEastAsia"/>
                      <w:vertAlign w:val="superscript"/>
                    </w:rPr>
                  </w:pPr>
                  <w:r>
                    <w:rPr>
                      <w:rFonts w:hint="eastAsia" w:asciiTheme="majorEastAsia" w:hAnsiTheme="majorEastAsia" w:eastAsiaTheme="majorEastAsia"/>
                    </w:rPr>
                    <w:t>34,700m</w:t>
                  </w:r>
                  <w:r>
                    <w:rPr>
                      <w:rFonts w:hint="eastAsia" w:asciiTheme="majorEastAsia" w:hAnsiTheme="majorEastAsia" w:eastAsiaTheme="majorEastAsia"/>
                      <w:vertAlign w:val="superscript"/>
                    </w:rPr>
                    <w:t>3</w:t>
                  </w:r>
                </w:p>
              </w:tc>
            </w:tr>
          </w:tbl>
          <w:p>
            <w:pPr>
              <w:pStyle w:val="0"/>
              <w:spacing w:line="320" w:lineRule="exact"/>
              <w:rPr>
                <w:rFonts w:hint="default" w:asciiTheme="majorEastAsia" w:hAnsiTheme="majorEastAsia" w:eastAsiaTheme="majorEastAsia"/>
              </w:rPr>
            </w:pPr>
          </w:p>
        </w:tc>
      </w:tr>
    </w:tbl>
    <w:p>
      <w:pPr>
        <w:pStyle w:val="0"/>
        <w:rPr>
          <w:rFonts w:hint="default" w:asciiTheme="majorEastAsia" w:hAnsiTheme="majorEastAsia" w:eastAsiaTheme="majorEastAsia"/>
        </w:rPr>
      </w:pPr>
    </w:p>
    <w:p>
      <w:pPr>
        <w:pStyle w:val="0"/>
        <w:ind w:firstLine="2400" w:firstLineChars="750"/>
        <w:rPr>
          <w:rFonts w:hint="default" w:ascii="HG丸ｺﾞｼｯｸM-PRO" w:hAnsi="HG丸ｺﾞｼｯｸM-PRO" w:eastAsia="HG丸ｺﾞｼｯｸM-PRO"/>
          <w:sz w:val="32"/>
        </w:rPr>
      </w:pPr>
    </w:p>
    <w:p>
      <w:pPr>
        <w:pStyle w:val="0"/>
        <w:jc w:val="center"/>
        <w:rPr>
          <w:rFonts w:hint="default" w:ascii="HG丸ｺﾞｼｯｸM-PRO" w:hAnsi="HG丸ｺﾞｼｯｸM-PRO" w:eastAsia="HG丸ｺﾞｼｯｸM-PRO"/>
          <w:b w:val="1"/>
          <w:sz w:val="40"/>
        </w:rPr>
      </w:pPr>
    </w:p>
    <w:p>
      <w:pPr>
        <w:pStyle w:val="0"/>
        <w:jc w:val="center"/>
        <w:rPr>
          <w:rFonts w:hint="default" w:ascii="HG丸ｺﾞｼｯｸM-PRO" w:hAnsi="HG丸ｺﾞｼｯｸM-PRO" w:eastAsia="HG丸ｺﾞｼｯｸM-PRO"/>
          <w:b w:val="1"/>
          <w:sz w:val="40"/>
        </w:rPr>
      </w:pPr>
    </w:p>
    <w:p>
      <w:pPr>
        <w:pStyle w:val="0"/>
        <w:jc w:val="center"/>
        <w:rPr>
          <w:rFonts w:hint="default" w:ascii="HG丸ｺﾞｼｯｸM-PRO" w:hAnsi="HG丸ｺﾞｼｯｸM-PRO" w:eastAsia="HG丸ｺﾞｼｯｸM-PRO"/>
          <w:b w:val="1"/>
          <w:sz w:val="40"/>
        </w:rPr>
      </w:pPr>
    </w:p>
    <w:p>
      <w:pPr>
        <w:pStyle w:val="0"/>
        <w:jc w:val="center"/>
        <w:rPr>
          <w:rFonts w:hint="default" w:ascii="HG丸ｺﾞｼｯｸM-PRO" w:hAnsi="HG丸ｺﾞｼｯｸM-PRO" w:eastAsia="HG丸ｺﾞｼｯｸM-PRO"/>
          <w:b w:val="1"/>
          <w:sz w:val="40"/>
        </w:rPr>
      </w:pPr>
    </w:p>
    <w:p>
      <w:pPr>
        <w:pStyle w:val="0"/>
        <w:jc w:val="center"/>
        <w:rPr>
          <w:rFonts w:hint="default" w:ascii="HG丸ｺﾞｼｯｸM-PRO" w:hAnsi="HG丸ｺﾞｼｯｸM-PRO" w:eastAsia="HG丸ｺﾞｼｯｸM-PRO"/>
          <w:b w:val="1"/>
          <w:sz w:val="40"/>
        </w:rPr>
      </w:pPr>
      <w:r>
        <w:rPr>
          <w:rFonts w:hint="eastAsia"/>
        </w:rPr>
        <mc:AlternateContent>
          <mc:Choice Requires="wps">
            <w:drawing>
              <wp:anchor distT="0" distB="0" distL="203200" distR="203200" simplePos="0" relativeHeight="72" behindDoc="0" locked="0" layoutInCell="1" hidden="0" allowOverlap="1">
                <wp:simplePos x="0" y="0"/>
                <wp:positionH relativeFrom="column">
                  <wp:posOffset>1942465</wp:posOffset>
                </wp:positionH>
                <wp:positionV relativeFrom="paragraph">
                  <wp:posOffset>8456295</wp:posOffset>
                </wp:positionV>
                <wp:extent cx="1866265" cy="837565"/>
                <wp:effectExtent l="0" t="0" r="635" b="635"/>
                <wp:wrapNone/>
                <wp:docPr id="1125" name="オブジェクト 0"/>
                <a:graphic xmlns:a="http://schemas.openxmlformats.org/drawingml/2006/main">
                  <a:graphicData uri="http://schemas.microsoft.com/office/word/2010/wordprocessingShape">
                    <wps:wsp>
                      <wps:cNvPr id="1125" name="オブジェクト 0"/>
                      <wps:cNvSpPr txBox="1"/>
                      <wps:spPr>
                        <a:xfrm>
                          <a:off x="0" y="0"/>
                          <a:ext cx="1866265" cy="83756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665.85pt;mso-position-vertical-relative:text;mso-position-horizontal-relative:text;position:absolute;height:65.95pt;mso-wrap-distance-top:0pt;width:146.94pt;mso-wrap-distance-left:16pt;margin-left:152.94pt;z-index:72;" o:spid="_x0000_s1125"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p>
                  </w:txbxContent>
                </v:textbox>
                <v:imagedata o:title=""/>
                <w10:wrap type="none" anchorx="text" anchory="text"/>
              </v:shape>
            </w:pict>
          </mc:Fallback>
        </mc:AlternateContent>
      </w:r>
      <w:r>
        <w:rPr>
          <w:rFonts w:hint="eastAsia"/>
        </w:rPr>
        <w:br w:type="page"/>
      </w:r>
    </w:p>
    <w:p>
      <w:pPr>
        <w:pStyle w:val="0"/>
        <w:jc w:val="center"/>
        <w:rPr>
          <w:rFonts w:hint="default" w:ascii="HG丸ｺﾞｼｯｸM-PRO" w:hAnsi="HG丸ｺﾞｼｯｸM-PRO" w:eastAsia="HG丸ｺﾞｼｯｸM-PRO"/>
          <w:b w:val="1"/>
          <w:sz w:val="40"/>
        </w:rPr>
      </w:pPr>
    </w:p>
    <w:p>
      <w:pPr>
        <w:pStyle w:val="0"/>
        <w:jc w:val="center"/>
        <w:rPr>
          <w:rFonts w:hint="default" w:ascii="HG丸ｺﾞｼｯｸM-PRO" w:hAnsi="HG丸ｺﾞｼｯｸM-PRO" w:eastAsia="HG丸ｺﾞｼｯｸM-PRO"/>
          <w:b w:val="1"/>
          <w:sz w:val="40"/>
        </w:rPr>
      </w:pPr>
      <w:r>
        <w:rPr>
          <w:rFonts w:hint="eastAsia"/>
        </w:rPr>
        <mc:AlternateContent>
          <mc:Choice Requires="wps">
            <w:drawing>
              <wp:anchor distT="0" distB="0" distL="203200" distR="203200" simplePos="0" relativeHeight="61" behindDoc="0" locked="0" layoutInCell="1" hidden="0" allowOverlap="1">
                <wp:simplePos x="0" y="0"/>
                <wp:positionH relativeFrom="column">
                  <wp:posOffset>1812925</wp:posOffset>
                </wp:positionH>
                <wp:positionV relativeFrom="paragraph">
                  <wp:posOffset>8408035</wp:posOffset>
                </wp:positionV>
                <wp:extent cx="1866265" cy="837565"/>
                <wp:effectExtent l="0" t="0" r="635" b="635"/>
                <wp:wrapNone/>
                <wp:docPr id="1126" name="オブジェクト 0"/>
                <a:graphic xmlns:a="http://schemas.openxmlformats.org/drawingml/2006/main">
                  <a:graphicData uri="http://schemas.microsoft.com/office/word/2010/wordprocessingShape">
                    <wps:wsp>
                      <wps:cNvPr id="1126" name="オブジェクト 0"/>
                      <wps:cNvSpPr txBox="1"/>
                      <wps:spPr>
                        <a:xfrm>
                          <a:off x="0" y="0"/>
                          <a:ext cx="1866265" cy="83756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662.05pt;mso-position-vertical-relative:text;mso-position-horizontal-relative:text;position:absolute;height:65.95pt;mso-wrap-distance-top:0pt;width:146.94pt;mso-wrap-distance-left:16pt;margin-left:142.75pt;z-index:61;" o:spid="_x0000_s1126"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p>
                  </w:txbxContent>
                </v:textbox>
                <v:imagedata o:title=""/>
                <w10:wrap type="none" anchorx="text" anchory="text"/>
              </v:shape>
            </w:pict>
          </mc:Fallback>
        </mc:AlternateContent>
      </w:r>
    </w:p>
    <w:p>
      <w:pPr>
        <w:pStyle w:val="0"/>
        <w:jc w:val="center"/>
        <w:rPr>
          <w:rFonts w:hint="default" w:ascii="HG丸ｺﾞｼｯｸM-PRO" w:hAnsi="HG丸ｺﾞｼｯｸM-PRO" w:eastAsia="HG丸ｺﾞｼｯｸM-PRO"/>
          <w:b w:val="1"/>
          <w:sz w:val="40"/>
        </w:rPr>
      </w:pPr>
    </w:p>
    <w:p>
      <w:pPr>
        <w:pStyle w:val="0"/>
        <w:jc w:val="center"/>
        <w:rPr>
          <w:rFonts w:hint="default" w:ascii="HG丸ｺﾞｼｯｸM-PRO" w:hAnsi="HG丸ｺﾞｼｯｸM-PRO" w:eastAsia="HG丸ｺﾞｼｯｸM-PRO"/>
          <w:b w:val="1"/>
          <w:sz w:val="40"/>
        </w:rPr>
      </w:pPr>
    </w:p>
    <w:p>
      <w:pPr>
        <w:pStyle w:val="0"/>
        <w:jc w:val="center"/>
        <w:rPr>
          <w:rFonts w:hint="default" w:ascii="HG丸ｺﾞｼｯｸM-PRO" w:hAnsi="HG丸ｺﾞｼｯｸM-PRO" w:eastAsia="HG丸ｺﾞｼｯｸM-PRO"/>
          <w:b w:val="1"/>
          <w:sz w:val="40"/>
        </w:rPr>
      </w:pPr>
    </w:p>
    <w:p>
      <w:pPr>
        <w:pStyle w:val="0"/>
        <w:rPr>
          <w:rFonts w:hint="default" w:ascii="HG丸ｺﾞｼｯｸM-PRO" w:hAnsi="HG丸ｺﾞｼｯｸM-PRO" w:eastAsia="HG丸ｺﾞｼｯｸM-PRO"/>
          <w:b w:val="1"/>
          <w:sz w:val="40"/>
        </w:rPr>
      </w:pPr>
    </w:p>
    <w:p>
      <w:pPr>
        <w:pStyle w:val="0"/>
        <w:rPr>
          <w:rFonts w:hint="default" w:ascii="HG丸ｺﾞｼｯｸM-PRO" w:hAnsi="HG丸ｺﾞｼｯｸM-PRO" w:eastAsia="HG丸ｺﾞｼｯｸM-PRO"/>
          <w:b w:val="1"/>
          <w:sz w:val="40"/>
        </w:rPr>
      </w:pPr>
    </w:p>
    <w:p>
      <w:pPr>
        <w:pStyle w:val="0"/>
        <w:jc w:val="center"/>
        <w:rPr>
          <w:rFonts w:hint="default" w:ascii="HG丸ｺﾞｼｯｸM-PRO" w:hAnsi="HG丸ｺﾞｼｯｸM-PRO" w:eastAsia="HG丸ｺﾞｼｯｸM-PRO"/>
          <w:b w:val="1"/>
          <w:sz w:val="40"/>
        </w:rPr>
      </w:pPr>
    </w:p>
    <w:p>
      <w:pPr>
        <w:pStyle w:val="0"/>
        <w:jc w:val="center"/>
        <w:rPr>
          <w:rFonts w:hint="default" w:ascii="HG丸ｺﾞｼｯｸM-PRO" w:hAnsi="HG丸ｺﾞｼｯｸM-PRO" w:eastAsia="HG丸ｺﾞｼｯｸM-PRO"/>
          <w:b w:val="1"/>
          <w:sz w:val="40"/>
        </w:rPr>
      </w:pPr>
    </w:p>
    <w:tbl>
      <w:tblPr>
        <w:tblStyle w:val="11"/>
        <w:tblW w:w="53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5385"/>
      </w:tblGrid>
      <w:tr>
        <w:trPr>
          <w:trHeight w:val="3945" w:hRule="atLeast"/>
        </w:trPr>
        <w:tc>
          <w:tcPr>
            <w:tcW w:w="5385" w:type="dxa"/>
            <w:vAlign w:val="top"/>
          </w:tcPr>
          <w:p>
            <w:pPr>
              <w:pStyle w:val="0"/>
              <w:jc w:val="both"/>
              <w:rPr>
                <w:rFonts w:hint="default" w:ascii="ＭＳ ゴシック" w:hAnsi="ＭＳ ゴシック" w:eastAsia="ＭＳ ゴシック"/>
                <w:b w:val="1"/>
                <w:sz w:val="32"/>
              </w:rPr>
            </w:pPr>
            <w:r>
              <w:rPr>
                <w:rFonts w:hint="eastAsia" w:ascii="ＭＳ ゴシック" w:hAnsi="ＭＳ ゴシック" w:eastAsia="ＭＳ ゴシック"/>
                <w:b w:val="1"/>
                <w:sz w:val="32"/>
              </w:rPr>
              <w:t>津山市の環境報告書</w:t>
            </w:r>
          </w:p>
          <w:p>
            <w:pPr>
              <w:pStyle w:val="0"/>
              <w:jc w:val="both"/>
              <w:rPr>
                <w:rFonts w:hint="default" w:ascii="ＭＳ ゴシック" w:hAnsi="ＭＳ ゴシック" w:eastAsia="ＭＳ ゴシック"/>
                <w:b w:val="1"/>
                <w:sz w:val="28"/>
              </w:rPr>
            </w:pPr>
            <w:r>
              <w:rPr>
                <w:rFonts w:hint="eastAsia" w:ascii="ＭＳ ゴシック" w:hAnsi="ＭＳ ゴシック" w:eastAsia="ＭＳ ゴシック"/>
                <w:b w:val="1"/>
                <w:sz w:val="28"/>
              </w:rPr>
              <w:t>令和２年度版</w:t>
            </w:r>
          </w:p>
          <w:p>
            <w:pPr>
              <w:pStyle w:val="0"/>
              <w:jc w:val="both"/>
              <w:rPr>
                <w:rFonts w:hint="default" w:ascii="ＭＳ ゴシック" w:hAnsi="ＭＳ ゴシック" w:eastAsia="ＭＳ ゴシック"/>
                <w:sz w:val="28"/>
              </w:rPr>
            </w:pPr>
            <w:r>
              <w:rPr>
                <w:rFonts w:hint="eastAsia" w:ascii="ＭＳ ゴシック" w:hAnsi="ＭＳ ゴシック" w:eastAsia="ＭＳ ゴシック"/>
                <w:sz w:val="28"/>
              </w:rPr>
              <w:t>令和３年３月発行</w:t>
            </w:r>
          </w:p>
          <w:p>
            <w:pPr>
              <w:pStyle w:val="0"/>
              <w:jc w:val="both"/>
              <w:rPr>
                <w:rFonts w:hint="default" w:ascii="ＭＳ ゴシック" w:hAnsi="ＭＳ ゴシック" w:eastAsia="ＭＳ ゴシック"/>
                <w:sz w:val="28"/>
              </w:rPr>
            </w:pPr>
          </w:p>
          <w:p>
            <w:pPr>
              <w:pStyle w:val="0"/>
              <w:jc w:val="both"/>
              <w:rPr>
                <w:rFonts w:hint="default" w:ascii="ＭＳ ゴシック" w:hAnsi="ＭＳ ゴシック" w:eastAsia="ＭＳ ゴシック"/>
                <w:sz w:val="22"/>
              </w:rPr>
            </w:pPr>
            <w:r>
              <w:rPr>
                <w:rFonts w:hint="eastAsia" w:ascii="ＭＳ ゴシック" w:hAnsi="ＭＳ ゴシック" w:eastAsia="ＭＳ ゴシック"/>
                <w:sz w:val="24"/>
              </w:rPr>
              <w:t>発行　</w:t>
            </w:r>
            <w:r>
              <w:rPr>
                <w:rFonts w:hint="eastAsia" w:ascii="ＭＳ ゴシック" w:hAnsi="ＭＳ ゴシック" w:eastAsia="ＭＳ ゴシック"/>
                <w:sz w:val="22"/>
              </w:rPr>
              <w:t>津山市環境福祉部環境生活課</w:t>
            </w:r>
          </w:p>
          <w:p>
            <w:pPr>
              <w:pStyle w:val="0"/>
              <w:jc w:val="both"/>
              <w:rPr>
                <w:rFonts w:hint="default" w:ascii="ＭＳ ゴシック" w:hAnsi="ＭＳ ゴシック" w:eastAsia="ＭＳ ゴシック"/>
                <w:sz w:val="24"/>
              </w:rPr>
            </w:pPr>
            <w:r>
              <w:rPr>
                <w:rFonts w:hint="eastAsia" w:ascii="ＭＳ ゴシック" w:hAnsi="ＭＳ ゴシック" w:eastAsia="ＭＳ ゴシック"/>
                <w:sz w:val="24"/>
              </w:rPr>
              <w:t>〒</w:t>
            </w:r>
            <w:r>
              <w:rPr>
                <w:rFonts w:hint="eastAsia" w:ascii="ＭＳ ゴシック" w:hAnsi="ＭＳ ゴシック" w:eastAsia="ＭＳ ゴシック"/>
                <w:sz w:val="24"/>
              </w:rPr>
              <w:t xml:space="preserve">708-8501 </w:t>
            </w:r>
            <w:r>
              <w:rPr>
                <w:rFonts w:hint="eastAsia" w:ascii="ＭＳ ゴシック" w:hAnsi="ＭＳ ゴシック" w:eastAsia="ＭＳ ゴシック"/>
                <w:sz w:val="24"/>
              </w:rPr>
              <w:t>津山市山北</w:t>
            </w:r>
            <w:r>
              <w:rPr>
                <w:rFonts w:hint="eastAsia" w:ascii="ＭＳ ゴシック" w:hAnsi="ＭＳ ゴシック" w:eastAsia="ＭＳ ゴシック"/>
                <w:sz w:val="24"/>
              </w:rPr>
              <w:t>520</w:t>
            </w:r>
            <w:r>
              <w:rPr>
                <w:rFonts w:hint="eastAsia" w:ascii="ＭＳ ゴシック" w:hAnsi="ＭＳ ゴシック" w:eastAsia="ＭＳ ゴシック"/>
                <w:sz w:val="24"/>
              </w:rPr>
              <w:t>番地</w:t>
            </w:r>
          </w:p>
          <w:p>
            <w:pPr>
              <w:pStyle w:val="0"/>
              <w:ind w:firstLine="960" w:firstLineChars="400"/>
              <w:jc w:val="both"/>
              <w:rPr>
                <w:rFonts w:hint="default" w:ascii="ＭＳ ゴシック" w:hAnsi="ＭＳ ゴシック" w:eastAsia="ＭＳ ゴシック"/>
                <w:sz w:val="24"/>
              </w:rPr>
            </w:pPr>
            <w:r>
              <w:rPr>
                <w:rFonts w:hint="eastAsia" w:ascii="ＭＳ ゴシック" w:hAnsi="ＭＳ ゴシック" w:eastAsia="ＭＳ ゴシック"/>
                <w:sz w:val="24"/>
              </w:rPr>
              <w:t>ＴＥＬ（</w:t>
            </w:r>
            <w:r>
              <w:rPr>
                <w:rFonts w:hint="eastAsia" w:ascii="ＭＳ ゴシック" w:hAnsi="ＭＳ ゴシック" w:eastAsia="ＭＳ ゴシック"/>
                <w:sz w:val="24"/>
              </w:rPr>
              <w:t>0868</w:t>
            </w:r>
            <w:r>
              <w:rPr>
                <w:rFonts w:hint="eastAsia" w:ascii="ＭＳ ゴシック" w:hAnsi="ＭＳ ゴシック" w:eastAsia="ＭＳ ゴシック"/>
                <w:sz w:val="24"/>
              </w:rPr>
              <w:t>）</w:t>
            </w:r>
            <w:r>
              <w:rPr>
                <w:rFonts w:hint="eastAsia" w:ascii="ＭＳ ゴシック" w:hAnsi="ＭＳ ゴシック" w:eastAsia="ＭＳ ゴシック"/>
                <w:sz w:val="24"/>
              </w:rPr>
              <w:t>32-2051</w:t>
            </w:r>
            <w:r>
              <w:rPr>
                <w:rFonts w:hint="eastAsia" w:ascii="ＭＳ ゴシック" w:hAnsi="ＭＳ ゴシック" w:eastAsia="ＭＳ ゴシック"/>
                <w:sz w:val="24"/>
              </w:rPr>
              <w:t>（直通）</w:t>
            </w:r>
          </w:p>
          <w:p>
            <w:pPr>
              <w:pStyle w:val="0"/>
              <w:ind w:firstLine="960" w:firstLineChars="400"/>
              <w:jc w:val="both"/>
              <w:rPr>
                <w:rFonts w:hint="default" w:ascii="ＭＳ ゴシック" w:hAnsi="ＭＳ ゴシック" w:eastAsia="ＭＳ ゴシック"/>
                <w:sz w:val="24"/>
              </w:rPr>
            </w:pPr>
            <w:r>
              <w:rPr>
                <w:rFonts w:hint="eastAsia" w:ascii="ＭＳ ゴシック" w:hAnsi="ＭＳ ゴシック" w:eastAsia="ＭＳ ゴシック"/>
                <w:sz w:val="24"/>
              </w:rPr>
              <w:t>ＦＡＸ（</w:t>
            </w:r>
            <w:r>
              <w:rPr>
                <w:rFonts w:hint="eastAsia" w:ascii="ＭＳ ゴシック" w:hAnsi="ＭＳ ゴシック" w:eastAsia="ＭＳ ゴシック"/>
                <w:sz w:val="24"/>
              </w:rPr>
              <w:t>0868</w:t>
            </w:r>
            <w:r>
              <w:rPr>
                <w:rFonts w:hint="eastAsia" w:ascii="ＭＳ ゴシック" w:hAnsi="ＭＳ ゴシック" w:eastAsia="ＭＳ ゴシック"/>
                <w:sz w:val="24"/>
              </w:rPr>
              <w:t>）</w:t>
            </w:r>
            <w:r>
              <w:rPr>
                <w:rFonts w:hint="eastAsia" w:ascii="ＭＳ ゴシック" w:hAnsi="ＭＳ ゴシック" w:eastAsia="ＭＳ ゴシック"/>
                <w:sz w:val="24"/>
              </w:rPr>
              <w:t>32-2158</w:t>
            </w:r>
          </w:p>
          <w:p>
            <w:pPr>
              <w:pStyle w:val="0"/>
              <w:jc w:val="both"/>
              <w:rPr>
                <w:rFonts w:hint="default" w:ascii="HG丸ｺﾞｼｯｸM-PRO" w:hAnsi="HG丸ｺﾞｼｯｸM-PRO" w:eastAsia="HG丸ｺﾞｼｯｸM-PRO"/>
                <w:sz w:val="22"/>
              </w:rPr>
            </w:pPr>
            <w:r>
              <w:rPr>
                <w:rFonts w:hint="eastAsia" w:ascii="ＭＳ ゴシック" w:hAnsi="ＭＳ ゴシック" w:eastAsia="ＭＳ ゴシック"/>
                <w:sz w:val="22"/>
              </w:rPr>
              <w:t>e-mail</w:t>
            </w:r>
            <w:r>
              <w:rPr>
                <w:rFonts w:hint="eastAsia" w:ascii="ＭＳ ゴシック" w:hAnsi="ＭＳ ゴシック" w:eastAsia="ＭＳ ゴシック"/>
                <w:sz w:val="22"/>
              </w:rPr>
              <w:t>：</w:t>
            </w:r>
            <w:r>
              <w:rPr>
                <w:rFonts w:hint="eastAsia" w:ascii="ＭＳ ゴシック" w:hAnsi="ＭＳ ゴシック" w:eastAsia="ＭＳ ゴシック"/>
                <w:sz w:val="22"/>
              </w:rPr>
              <w:t>kankyou@city.tsuyama.lg.jp</w:t>
            </w:r>
          </w:p>
        </w:tc>
      </w:tr>
    </w:tbl>
    <w:p>
      <w:pPr>
        <w:pStyle w:val="0"/>
        <w:widowControl w:val="1"/>
        <w:jc w:val="left"/>
        <w:rPr>
          <w:rFonts w:hint="default" w:ascii="Century" w:hAnsi="Century" w:eastAsia="ＭＳ 明朝"/>
        </w:rPr>
      </w:pPr>
    </w:p>
    <w:p>
      <w:pPr>
        <w:pStyle w:val="0"/>
        <w:widowControl w:val="1"/>
        <w:jc w:val="left"/>
        <w:rPr>
          <w:rFonts w:hint="default" w:ascii="Century" w:hAnsi="Century" w:eastAsia="ＭＳ 明朝"/>
        </w:rPr>
      </w:pPr>
      <w:r>
        <w:rPr>
          <w:rFonts w:hint="eastAsia" w:ascii="Century" w:hAnsi="Century" w:eastAsia="ＭＳ 明朝"/>
        </w:rPr>
        <mc:AlternateContent>
          <mc:Choice Requires="wps">
            <w:drawing>
              <wp:anchor distT="0" distB="0" distL="114300" distR="114300" simplePos="0" relativeHeight="8" behindDoc="0" locked="0" layoutInCell="1" hidden="0" allowOverlap="1">
                <wp:simplePos x="0" y="0"/>
                <wp:positionH relativeFrom="column">
                  <wp:posOffset>2292985</wp:posOffset>
                </wp:positionH>
                <wp:positionV relativeFrom="paragraph">
                  <wp:posOffset>1423035</wp:posOffset>
                </wp:positionV>
                <wp:extent cx="1146175" cy="681990"/>
                <wp:effectExtent l="635" t="635" r="635" b="635"/>
                <wp:wrapNone/>
                <wp:docPr id="1127" name="円/楕円 1060"/>
                <a:graphic xmlns:a="http://schemas.openxmlformats.org/drawingml/2006/main">
                  <a:graphicData uri="http://schemas.microsoft.com/office/word/2010/wordprocessingShape">
                    <wps:wsp>
                      <wps:cNvPr id="1127" name="円/楕円 1060"/>
                      <wps:cNvSpPr/>
                      <wps:spPr>
                        <a:xfrm>
                          <a:off x="0" y="0"/>
                          <a:ext cx="1146175" cy="68199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円/楕円 1060" style="mso-wrap-distance-right:9pt;mso-wrap-distance-bottom:0pt;margin-top:112.05pt;mso-position-vertical-relative:text;mso-position-horizontal-relative:text;position:absolute;height:53.7pt;mso-wrap-distance-top:0pt;width:90.25pt;mso-wrap-distance-left:9pt;margin-left:180.55pt;z-index:8;" o:spid="_x0000_s1127" o:allowincell="t" o:allowoverlap="t" filled="t" fillcolor="#ffffff [3212]" stroked="f" strokecolor="#385d8a" strokeweight="2pt" o:spt="3">
                <v:fill/>
                <v:stroke linestyle="single" endcap="flat" dashstyle="solid"/>
                <v:textbox style="layout-flow:horizontal;"/>
                <v:imagedata o:title=""/>
                <w10:wrap type="none" anchorx="text" anchory="text"/>
              </v:oval>
            </w:pict>
          </mc:Fallback>
        </mc:AlternateContent>
      </w:r>
      <w:r>
        <w:rPr>
          <w:rFonts w:hint="eastAsia"/>
        </w:rPr>
        <mc:AlternateContent>
          <mc:Choice Requires="wps">
            <w:drawing>
              <wp:anchor distT="0" distB="0" distL="203200" distR="203200" simplePos="0" relativeHeight="62" behindDoc="0" locked="0" layoutInCell="1" hidden="0" allowOverlap="1">
                <wp:simplePos x="0" y="0"/>
                <wp:positionH relativeFrom="column">
                  <wp:posOffset>1812925</wp:posOffset>
                </wp:positionH>
                <wp:positionV relativeFrom="paragraph">
                  <wp:posOffset>792480</wp:posOffset>
                </wp:positionV>
                <wp:extent cx="1866265" cy="837565"/>
                <wp:effectExtent l="0" t="0" r="635" b="635"/>
                <wp:wrapNone/>
                <wp:docPr id="1128" name="オブジェクト 0"/>
                <a:graphic xmlns:a="http://schemas.openxmlformats.org/drawingml/2006/main">
                  <a:graphicData uri="http://schemas.microsoft.com/office/word/2010/wordprocessingShape">
                    <wps:wsp>
                      <wps:cNvPr id="1128" name="オブジェクト 0"/>
                      <wps:cNvSpPr txBox="1"/>
                      <wps:spPr>
                        <a:xfrm>
                          <a:off x="0" y="0"/>
                          <a:ext cx="1866265" cy="83756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62.4pt;mso-position-vertical-relative:text;mso-position-horizontal-relative:text;position:absolute;height:65.95pt;mso-wrap-distance-top:0pt;width:146.94pt;mso-wrap-distance-left:16pt;margin-left:142.75pt;z-index:62;" o:spid="_x0000_s1128"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p>
                  </w:txbxContent>
                </v:textbox>
                <v:imagedata o:title=""/>
                <w10:wrap type="none" anchorx="text" anchory="text"/>
              </v:shape>
            </w:pict>
          </mc:Fallback>
        </mc:AlternateContent>
      </w:r>
    </w:p>
    <w:sectPr>
      <w:pgSz w:w="11906" w:h="16838"/>
      <w:pgMar w:top="567" w:right="567" w:bottom="567" w:left="567" w:header="851" w:footer="992" w:gutter="0"/>
      <w:pgNumType w:fmt="numberInDash"/>
      <w:cols w:space="720"/>
      <w:titlePg w:val="1"/>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HG丸ｺﾞｼｯｸM-PRO">
    <w:panose1 w:val="00000000000000000000"/>
    <w:charset w:val="80"/>
    <w:family w:val="moder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HG丸ｺﾞｼｯｸM-PRO">
    <w:panose1 w:val="00000800000000000000"/>
    <w:charset w:val="80"/>
    <w:family w:val="moder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639929579"/>
      <w:docPartObj>
        <w:docPartGallery w:val="Page Numbers (Bottom of Page)"/>
        <w:docPartUnique/>
      </w:docPartObj>
    </w:sdtPr>
    <w:sdtEndPr>
      <w:rPr>
        <w:rFonts w:hint="default"/>
      </w:rPr>
    </w:sdtEndPr>
    <w:sdtContent>
      <w:p>
        <w:pPr>
          <w:pStyle w:val="19"/>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- 0 -</w:t>
        </w:r>
        <w:r>
          <w:rPr>
            <w:rFonts w:hint="eastAsia"/>
          </w:rPr>
          <w:fldChar w:fldCharType="end"/>
        </w:r>
      </w:p>
    </w:sdtContent>
  </w:sdt>
  <w:p>
    <w:pPr>
      <w:pStyle w:val="19"/>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025748131"/>
      <w:docPartObj>
        <w:docPartGallery w:val="Page Numbers (Bottom of Page)"/>
        <w:docPartUnique/>
      </w:docPartObj>
    </w:sdtPr>
    <w:sdtEndPr>
      <w:rPr>
        <w:rFonts w:hint="default"/>
      </w:rPr>
    </w:sdtEndPr>
    <w:sdtContent>
      <w:p>
        <w:pPr>
          <w:pStyle w:val="19"/>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- 23 -</w:t>
        </w:r>
        <w:r>
          <w:rPr>
            <w:rFonts w:hint="eastAsia"/>
          </w:rPr>
          <w:fldChar w:fldCharType="end"/>
        </w:r>
      </w:p>
    </w:sdtContent>
  </w:sdt>
  <w:p>
    <w:pPr>
      <w:pStyle w:val="19"/>
      <w:rPr>
        <w:rFonts w:hint="default"/>
      </w:rPr>
    </w:pP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33"/>
            <w:rFonts w:hint="eastAsia"/>
          </w:rPr>
          <w:t>- 22 -</w:t>
        </w:r>
        <w:r>
          <w:rPr>
            <w:rFonts w:hint="eastAsia"/>
          </w:rPr>
          <w:fldChar w:fldCharType="end"/>
        </w:r>
      </w:p>
    </w:sdtContent>
  </w:sdt>
  <w:p>
    <w:pPr>
      <w:pStyle w:val="0"/>
      <w:rPr>
        <w:rFonts w:hint="eastAsia"/>
      </w:rPr>
    </w:pP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33"/>
            <w:rFonts w:hint="eastAsia"/>
          </w:rPr>
          <w:t>- 27 -</w:t>
        </w:r>
        <w:r>
          <w:rPr>
            <w:rFonts w:hint="eastAsia"/>
          </w:rPr>
          <w:fldChar w:fldCharType="end"/>
        </w:r>
      </w:p>
    </w:sdtContent>
  </w:sdt>
  <w:p>
    <w:pPr>
      <w:pStyle w:val="0"/>
      <w:rPr>
        <w:rFonts w:hint="eastAsia"/>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EAFEC5E4"/>
    <w:lvl w:ilvl="0" w:tplc="66428A4A">
      <w:start w:val="1"/>
      <w:numFmt w:val="decimalFullWidth"/>
      <w:lvlText w:val="（%1）"/>
      <w:lvlJc w:val="left"/>
      <w:pPr>
        <w:ind w:left="720" w:hanging="720"/>
      </w:pPr>
      <w:rPr>
        <w:rFonts w:hint="default"/>
        <w:u w:val="single" w:color="auto"/>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nsid w:val="00000002"/>
    <w:multiLevelType w:val="hybridMultilevel"/>
    <w:tmpl w:val="BA9A590C"/>
    <w:lvl w:ilvl="0" w:tplc="26CE031C">
      <w:numFmt w:val="bullet"/>
      <w:lvlText w:val="◆"/>
      <w:lvlJc w:val="left"/>
      <w:pPr>
        <w:ind w:left="360" w:hanging="360"/>
      </w:pPr>
      <w:rPr>
        <w:rFonts w:hint="eastAsia" w:ascii="HG丸ｺﾞｼｯｸM-PRO" w:hAnsi="HG丸ｺﾞｼｯｸM-PRO" w:eastAsia="HG丸ｺﾞｼｯｸM-PRO"/>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2">
    <w:nsid w:val="00000003"/>
    <w:multiLevelType w:val="hybridMultilevel"/>
    <w:tmpl w:val="05D07052"/>
    <w:lvl w:ilvl="0" w:tplc="DC5EB2E2">
      <w:numFmt w:val="bullet"/>
      <w:lvlText w:val="○"/>
      <w:lvlJc w:val="left"/>
      <w:pPr>
        <w:ind w:left="570" w:hanging="360"/>
      </w:pPr>
      <w:rPr>
        <w:rFonts w:hint="eastAsia" w:ascii="ＭＳ 明朝" w:hAnsi="ＭＳ 明朝" w:eastAsia="ＭＳ 明朝"/>
      </w:rPr>
    </w:lvl>
    <w:lvl w:ilvl="1" w:tplc="0409000B">
      <w:numFmt w:val="bullet"/>
      <w:lvlText w:val=""/>
      <w:lvlJc w:val="left"/>
      <w:pPr>
        <w:ind w:left="1050" w:hanging="420"/>
      </w:pPr>
      <w:rPr>
        <w:rFonts w:hint="default" w:ascii="Wingdings" w:hAnsi="Wingdings"/>
      </w:rPr>
    </w:lvl>
    <w:lvl w:ilvl="2" w:tplc="0409000D">
      <w:numFmt w:val="bullet"/>
      <w:lvlText w:val=""/>
      <w:lvlJc w:val="left"/>
      <w:pPr>
        <w:ind w:left="1470" w:hanging="420"/>
      </w:pPr>
      <w:rPr>
        <w:rFonts w:hint="default" w:ascii="Wingdings" w:hAnsi="Wingdings"/>
      </w:rPr>
    </w:lvl>
    <w:lvl w:ilvl="3" w:tplc="04090001">
      <w:numFmt w:val="bullet"/>
      <w:lvlText w:val=""/>
      <w:lvlJc w:val="left"/>
      <w:pPr>
        <w:ind w:left="1890" w:hanging="420"/>
      </w:pPr>
      <w:rPr>
        <w:rFonts w:hint="default" w:ascii="Wingdings" w:hAnsi="Wingdings"/>
      </w:rPr>
    </w:lvl>
    <w:lvl w:ilvl="4" w:tplc="0409000B">
      <w:numFmt w:val="bullet"/>
      <w:lvlText w:val=""/>
      <w:lvlJc w:val="left"/>
      <w:pPr>
        <w:ind w:left="2310" w:hanging="420"/>
      </w:pPr>
      <w:rPr>
        <w:rFonts w:hint="default" w:ascii="Wingdings" w:hAnsi="Wingdings"/>
      </w:rPr>
    </w:lvl>
    <w:lvl w:ilvl="5" w:tplc="0409000D">
      <w:numFmt w:val="bullet"/>
      <w:lvlText w:val=""/>
      <w:lvlJc w:val="left"/>
      <w:pPr>
        <w:ind w:left="2730" w:hanging="420"/>
      </w:pPr>
      <w:rPr>
        <w:rFonts w:hint="default" w:ascii="Wingdings" w:hAnsi="Wingdings"/>
      </w:rPr>
    </w:lvl>
    <w:lvl w:ilvl="6" w:tplc="04090001">
      <w:numFmt w:val="bullet"/>
      <w:lvlText w:val=""/>
      <w:lvlJc w:val="left"/>
      <w:pPr>
        <w:ind w:left="3150" w:hanging="420"/>
      </w:pPr>
      <w:rPr>
        <w:rFonts w:hint="default" w:ascii="Wingdings" w:hAnsi="Wingdings"/>
      </w:rPr>
    </w:lvl>
    <w:lvl w:ilvl="7" w:tplc="0409000B">
      <w:numFmt w:val="bullet"/>
      <w:lvlText w:val=""/>
      <w:lvlJc w:val="left"/>
      <w:pPr>
        <w:ind w:left="3570" w:hanging="420"/>
      </w:pPr>
      <w:rPr>
        <w:rFonts w:hint="default" w:ascii="Wingdings" w:hAnsi="Wingdings"/>
      </w:rPr>
    </w:lvl>
    <w:lvl w:ilvl="8" w:tplc="0409000D">
      <w:numFmt w:val="bullet"/>
      <w:lvlText w:val=""/>
      <w:lvlJc w:val="left"/>
      <w:pPr>
        <w:ind w:left="399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174" type="connector" idref="#_x0000_s1106">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paragraph" w:styleId="1">
    <w:name w:val="heading 1"/>
    <w:basedOn w:val="0"/>
    <w:next w:val="0"/>
    <w:link w:val="21"/>
    <w:uiPriority w:val="0"/>
    <w:qFormat/>
    <w:pPr>
      <w:wordWrap w:val="0"/>
      <w:autoSpaceDE w:val="0"/>
      <w:autoSpaceDN w:val="0"/>
      <w:adjustRightInd w:val="0"/>
      <w:ind w:left="1504" w:leftChars="700"/>
      <w:contextualSpacing w:val="1"/>
      <w:jc w:val="left"/>
      <w:outlineLvl w:val="0"/>
    </w:pPr>
    <w:rPr>
      <w:rFonts w:ascii="HG丸ｺﾞｼｯｸM-PRO" w:hAnsi="HG丸ｺﾞｼｯｸM-PRO" w:eastAsia="HG丸ｺﾞｼｯｸM-PRO"/>
      <w:color w:val="00B0F0"/>
      <w:sz w:val="36"/>
    </w:rPr>
  </w:style>
  <w:style w:type="paragraph" w:styleId="2">
    <w:name w:val="heading 2"/>
    <w:basedOn w:val="0"/>
    <w:next w:val="0"/>
    <w:link w:val="29"/>
    <w:uiPriority w:val="0"/>
    <w:qFormat/>
    <w:pPr>
      <w:keepNext w:val="1"/>
      <w:outlineLvl w:val="1"/>
    </w:pPr>
    <w:rPr>
      <w:rFonts w:asciiTheme="majorHAnsi" w:hAnsiTheme="majorHAnsi" w:eastAsiaTheme="majorEastAsia"/>
    </w:rPr>
  </w:style>
  <w:style w:type="paragraph" w:styleId="3">
    <w:name w:val="heading 3"/>
    <w:basedOn w:val="0"/>
    <w:next w:val="0"/>
    <w:link w:val="24"/>
    <w:uiPriority w:val="0"/>
    <w:qFormat/>
    <w:pPr>
      <w:keepNext w:val="1"/>
      <w:ind w:left="400" w:leftChars="400"/>
      <w:outlineLvl w:val="2"/>
    </w:pPr>
    <w:rPr>
      <w:rFonts w:asciiTheme="majorHAnsi" w:hAnsiTheme="majorHAnsi" w:eastAsiaTheme="majorEastAsia"/>
    </w:rPr>
  </w:style>
  <w:style w:type="paragraph" w:styleId="4">
    <w:name w:val="heading 4"/>
    <w:basedOn w:val="0"/>
    <w:next w:val="0"/>
    <w:link w:val="25"/>
    <w:uiPriority w:val="0"/>
    <w:qFormat/>
    <w:pPr>
      <w:keepNext w:val="1"/>
      <w:ind w:left="400" w:leftChars="400"/>
      <w:outlineLvl w:val="3"/>
    </w:pPr>
    <w:rPr>
      <w:b w:val="1"/>
    </w:rPr>
  </w:style>
  <w:style w:type="paragraph" w:styleId="5">
    <w:name w:val="heading 5"/>
    <w:basedOn w:val="0"/>
    <w:next w:val="0"/>
    <w:link w:val="30"/>
    <w:uiPriority w:val="0"/>
    <w:qFormat/>
    <w:pPr>
      <w:keepNext w:val="1"/>
      <w:ind w:left="800" w:leftChars="800"/>
      <w:outlineLvl w:val="4"/>
    </w:pPr>
    <w:rPr>
      <w:rFonts w:asciiTheme="majorHAnsi" w:hAnsiTheme="majorHAnsi" w:eastAsiaTheme="majorEastAsia"/>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Balloon Text"/>
    <w:basedOn w:val="0"/>
    <w:next w:val="15"/>
    <w:link w:val="16"/>
    <w:uiPriority w:val="0"/>
    <w:semiHidden/>
    <w:rPr>
      <w:rFonts w:asciiTheme="majorHAnsi" w:hAnsiTheme="majorHAnsi" w:eastAsiaTheme="majorEastAsia"/>
      <w:sz w:val="18"/>
    </w:rPr>
  </w:style>
  <w:style w:type="character" w:styleId="16" w:customStyle="1">
    <w:name w:val="吹き出し (文字)"/>
    <w:basedOn w:val="10"/>
    <w:next w:val="16"/>
    <w:link w:val="15"/>
    <w:uiPriority w:val="0"/>
    <w:rPr>
      <w:rFonts w:asciiTheme="majorHAnsi" w:hAnsiTheme="majorHAnsi" w:eastAsiaTheme="majorEastAsia"/>
      <w:sz w:val="18"/>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style>
  <w:style w:type="character" w:styleId="21" w:customStyle="1">
    <w:name w:val="見出し 1 (文字)"/>
    <w:basedOn w:val="10"/>
    <w:next w:val="21"/>
    <w:link w:val="1"/>
    <w:uiPriority w:val="0"/>
    <w:rPr>
      <w:rFonts w:ascii="HG丸ｺﾞｼｯｸM-PRO" w:hAnsi="HG丸ｺﾞｼｯｸM-PRO" w:eastAsia="HG丸ｺﾞｼｯｸM-PRO"/>
      <w:color w:val="00B0F0"/>
      <w:sz w:val="36"/>
    </w:rPr>
  </w:style>
  <w:style w:type="paragraph" w:styleId="22">
    <w:name w:val="Body Text"/>
    <w:basedOn w:val="0"/>
    <w:next w:val="22"/>
    <w:link w:val="23"/>
    <w:uiPriority w:val="0"/>
    <w:pPr>
      <w:autoSpaceDE w:val="0"/>
      <w:autoSpaceDN w:val="0"/>
      <w:ind w:firstLine="227" w:firstLineChars="100"/>
    </w:pPr>
    <w:rPr>
      <w:rFonts w:ascii="ＭＳ 明朝" w:hAnsi="ＭＳ 明朝" w:eastAsia="ＭＳ 明朝"/>
      <w:sz w:val="22"/>
    </w:rPr>
  </w:style>
  <w:style w:type="character" w:styleId="23" w:customStyle="1">
    <w:name w:val="本文 (文字)"/>
    <w:basedOn w:val="10"/>
    <w:next w:val="23"/>
    <w:link w:val="22"/>
    <w:uiPriority w:val="0"/>
    <w:rPr>
      <w:rFonts w:ascii="ＭＳ 明朝" w:hAnsi="ＭＳ 明朝" w:eastAsia="ＭＳ 明朝"/>
      <w:sz w:val="22"/>
    </w:rPr>
  </w:style>
  <w:style w:type="character" w:styleId="24" w:customStyle="1">
    <w:name w:val="見出し 3 (文字)"/>
    <w:basedOn w:val="10"/>
    <w:next w:val="24"/>
    <w:link w:val="3"/>
    <w:uiPriority w:val="0"/>
    <w:rPr>
      <w:rFonts w:asciiTheme="majorHAnsi" w:hAnsiTheme="majorHAnsi" w:eastAsiaTheme="majorEastAsia"/>
    </w:rPr>
  </w:style>
  <w:style w:type="character" w:styleId="25" w:customStyle="1">
    <w:name w:val="見出し 4 (文字)"/>
    <w:basedOn w:val="10"/>
    <w:next w:val="25"/>
    <w:link w:val="4"/>
    <w:uiPriority w:val="0"/>
    <w:rPr>
      <w:b w:val="1"/>
    </w:rPr>
  </w:style>
  <w:style w:type="paragraph" w:styleId="26" w:customStyle="1">
    <w:name w:val="スタイル2"/>
    <w:basedOn w:val="0"/>
    <w:next w:val="26"/>
    <w:link w:val="27"/>
    <w:uiPriority w:val="0"/>
    <w:qFormat/>
    <w:pPr>
      <w:snapToGrid w:val="0"/>
      <w:ind w:left="227" w:leftChars="100"/>
    </w:pPr>
    <w:rPr>
      <w:rFonts w:ascii="HG丸ｺﾞｼｯｸM-PRO" w:hAnsi="HG丸ｺﾞｼｯｸM-PRO" w:eastAsia="HG丸ｺﾞｼｯｸM-PRO"/>
      <w:b w:val="1"/>
      <w:sz w:val="22"/>
      <w14:shadow w14:blurRad="50800" w14:dist="38100" w14:dir="2700000" w14:sx="100000" w14:sy="100000" w14:kx="0" w14:ky="0" w14:algn="tl">
        <w14:srgbClr w14:val="000000">
          <w14:alpha w14:val="60000"/>
        </w14:srgbClr>
      </w14:shadow>
      <w14:textFill>
        <w14:solidFill>
          <w14:srgbClr w14:val="FFFFFF"/>
        </w14:solidFill>
      </w14:textFill>
    </w:rPr>
  </w:style>
  <w:style w:type="character" w:styleId="27" w:customStyle="1">
    <w:name w:val="スタイル2 (文字)"/>
    <w:basedOn w:val="10"/>
    <w:next w:val="27"/>
    <w:link w:val="26"/>
    <w:uiPriority w:val="0"/>
    <w:rPr>
      <w:rFonts w:ascii="HG丸ｺﾞｼｯｸM-PRO" w:hAnsi="HG丸ｺﾞｼｯｸM-PRO" w:eastAsia="HG丸ｺﾞｼｯｸM-PRO"/>
      <w:b w:val="1"/>
      <w:color w:val="auto"/>
      <w:sz w:val="22"/>
      <w14:shadow w14:blurRad="50800" w14:dist="38100" w14:dir="2700000" w14:sx="100000" w14:sy="100000" w14:kx="0" w14:ky="0" w14:algn="tl">
        <w14:srgbClr w14:val="000000">
          <w14:alpha w14:val="60000"/>
        </w14:srgbClr>
      </w14:shadow>
      <w14:textFill>
        <w14:solidFill>
          <w14:srgbClr w14:val="FFFFFF"/>
        </w14:solidFill>
      </w14:textFill>
    </w:rPr>
  </w:style>
  <w:style w:type="paragraph" w:styleId="28">
    <w:name w:val="List Paragraph"/>
    <w:basedOn w:val="0"/>
    <w:next w:val="28"/>
    <w:link w:val="0"/>
    <w:uiPriority w:val="0"/>
    <w:qFormat/>
    <w:pPr>
      <w:ind w:left="840" w:leftChars="400"/>
    </w:pPr>
  </w:style>
  <w:style w:type="character" w:styleId="29" w:customStyle="1">
    <w:name w:val="見出し 2 (文字)"/>
    <w:basedOn w:val="10"/>
    <w:next w:val="29"/>
    <w:link w:val="2"/>
    <w:uiPriority w:val="0"/>
    <w:rPr>
      <w:rFonts w:asciiTheme="majorHAnsi" w:hAnsiTheme="majorHAnsi" w:eastAsiaTheme="majorEastAsia"/>
    </w:rPr>
  </w:style>
  <w:style w:type="character" w:styleId="30" w:customStyle="1">
    <w:name w:val="見出し 5 (文字)"/>
    <w:basedOn w:val="10"/>
    <w:next w:val="30"/>
    <w:link w:val="5"/>
    <w:uiPriority w:val="0"/>
    <w:rPr>
      <w:rFonts w:asciiTheme="majorHAnsi" w:hAnsiTheme="majorHAnsi" w:eastAsiaTheme="majorEastAsia"/>
    </w:rPr>
  </w:style>
  <w:style w:type="character" w:styleId="31">
    <w:name w:val="footnote reference"/>
    <w:basedOn w:val="10"/>
    <w:next w:val="31"/>
    <w:link w:val="0"/>
    <w:uiPriority w:val="0"/>
    <w:semiHidden/>
    <w:rPr>
      <w:vertAlign w:val="superscript"/>
    </w:rPr>
  </w:style>
  <w:style w:type="character" w:styleId="32">
    <w:name w:val="endnote reference"/>
    <w:basedOn w:val="10"/>
    <w:next w:val="32"/>
    <w:link w:val="0"/>
    <w:uiPriority w:val="0"/>
    <w:semiHidden/>
    <w:rPr>
      <w:vertAlign w:val="superscript"/>
    </w:rPr>
  </w:style>
  <w:style w:type="character" w:styleId="33">
    <w:name w:val="page number"/>
    <w:basedOn w:val="10"/>
    <w:next w:val="33"/>
    <w:link w:val="0"/>
    <w:uiPriority w:val="0"/>
  </w:style>
  <w:style w:type="table" w:styleId="34" w:customStyle="1">
    <w:name w:val="テーマの表  1（シンプル1-1）"/>
    <w:basedOn w:val="11"/>
    <w:next w:val="34"/>
    <w:link w:val="0"/>
    <w:uiPriority w:val="0"/>
    <w:tblPr>
      <w:tblStyleRowBandSize w:val="1"/>
      <w:tblStyleColBandSize w:val="1"/>
      <w:tblBorders>
        <w:top w:val="single" w:color="A6A6A6" w:themeColor="background1" w:themeShade="A6" w:sz="6" w:space="0"/>
        <w:left w:val="single" w:color="A6A6A6" w:themeColor="background1" w:themeShade="A6" w:sz="6" w:space="0"/>
        <w:bottom w:val="single" w:color="A6A6A6" w:themeColor="background1" w:themeShade="A6" w:sz="6" w:space="0"/>
        <w:right w:val="single" w:color="A6A6A6" w:themeColor="background1" w:themeShade="A6" w:sz="6" w:space="0"/>
        <w:insideH w:val="single" w:color="A6A6A6" w:themeColor="background1" w:themeShade="A6" w:sz="6" w:space="0"/>
        <w:insideV w:val="single" w:color="A6A6A6" w:themeColor="background1" w:themeShade="A6" w:sz="6" w:space="0"/>
      </w:tblBorders>
    </w:tblPr>
    <w:trPr/>
    <w:tcPr/>
    <w:tblStylePr w:type="band2Horz">
      <w:tblPr/>
      <w:trPr/>
      <w:tcPr>
        <w:tcBorders>
          <w:top w:val="single" w:color="A6A6A6" w:themeColor="background1" w:themeShade="A6" w:sz="6" w:space="0"/>
          <w:bottom w:val="single" w:color="A6A6A6" w:themeColor="background1" w:themeShade="A6" w:sz="6" w:space="0"/>
          <w:left w:val="single" w:color="A6A6A6" w:themeColor="background1" w:themeShade="A6" w:sz="6" w:space="0"/>
          <w:right w:val="single" w:color="A6A6A6" w:themeColor="background1" w:themeShade="A6" w:sz="6" w:space="0"/>
          <w:insideH w:val="single" w:color="A6A6A6" w:themeColor="background1" w:themeShade="A6" w:sz="6" w:space="0"/>
          <w:insideV w:val="single" w:color="A6A6A6" w:themeColor="background1" w:themeShade="A6" w:sz="6" w:space="0"/>
          <w:tl2br w:val="nil"/>
          <w:tr2bl w:val="nil"/>
        </w:tcBorders>
        <w:shd w:val="pct25" w:themeColor="background1" w:themeTint="FF" w:themeShade="D9" w:fill="auto"/>
      </w:tcPr>
    </w:tblStylePr>
    <w:tblStylePr w:type="band2Vert">
      <w:tblPr/>
      <w:trPr/>
      <w:tcPr>
        <w:tcBorders>
          <w:top w:val="single" w:color="A6A6A6" w:themeColor="background1" w:themeShade="A6" w:sz="6" w:space="0"/>
          <w:bottom w:val="single" w:color="A6A6A6" w:themeColor="background1" w:themeShade="A6" w:sz="6" w:space="0"/>
          <w:left w:val="single" w:color="A6A6A6" w:themeColor="background1" w:themeShade="A6" w:sz="6" w:space="0"/>
          <w:right w:val="single" w:color="A6A6A6" w:themeColor="background1" w:themeShade="A6" w:sz="6" w:space="0"/>
          <w:insideH w:val="single" w:color="A6A6A6" w:themeColor="background1" w:themeShade="A6" w:sz="6" w:space="0"/>
          <w:insideV w:val="single" w:color="A6A6A6" w:themeColor="background1" w:themeShade="A6" w:sz="6" w:space="0"/>
        </w:tcBorders>
        <w:shd w:val="pct25" w:themeColor="background1" w:themeTint="FF" w:themeShade="D9" w:fill="auto"/>
      </w:tcPr>
    </w:tblStylePr>
    <w:tblStylePr w:type="lastCol">
      <w:rPr>
        <w:b w:val="1"/>
      </w:rPr>
      <w:tblPr/>
      <w:trPr/>
      <w:tcPr>
        <w:tcBorders>
          <w:left w:val="nil"/>
        </w:tcBorders>
      </w:tcPr>
    </w:tblStylePr>
    <w:tblStylePr w:type="firstCol">
      <w:tblPr/>
      <w:trPr/>
      <w:tcPr>
        <w:shd w:val="clear" w:color="auto" w:themeFill="background1" w:themeFillTint="FF" w:themeFillShade="F2"/>
      </w:tcPr>
    </w:tblStylePr>
    <w:tblStylePr w:type="lastRow">
      <w:rPr>
        <w:b w:val="1"/>
      </w:rPr>
      <w:tblPr/>
      <w:trPr/>
      <w:tcPr/>
    </w:tblStylePr>
    <w:tblStylePr w:type="firstRow">
      <w:rPr>
        <w:b w:val="1"/>
      </w:rPr>
      <w:tblPr/>
      <w:trPr/>
      <w:tcPr>
        <w:shd w:val="clear" w:color="auto" w:themeFill="background1" w:themeFillTint="FF" w:themeFillShade="D9"/>
      </w:tcPr>
    </w:tblStylePr>
  </w:style>
  <w:style w:type="table" w:styleId="35" w:customStyle="1">
    <w:name w:val="テーマの表  3（シンプル1-3）"/>
    <w:basedOn w:val="11"/>
    <w:next w:val="35"/>
    <w:link w:val="0"/>
    <w:uiPriority w:val="0"/>
    <w:tblPr>
      <w:tblStyleRowBandSize w:val="1"/>
      <w:tblStyleColBandSize w:val="1"/>
      <w:tblBorders>
        <w:top w:val="single" w:color="DA9694" w:themeColor="accent2" w:themeTint="99" w:sz="6" w:space="0"/>
        <w:left w:val="single" w:color="DA9694" w:themeColor="accent2" w:themeTint="99" w:sz="6" w:space="0"/>
        <w:bottom w:val="single" w:color="DA9694" w:themeColor="accent2" w:themeTint="99" w:sz="6" w:space="0"/>
        <w:right w:val="single" w:color="DA9694" w:themeColor="accent2" w:themeTint="99" w:sz="6" w:space="0"/>
        <w:insideH w:val="single" w:color="DA9694" w:themeColor="accent2" w:themeTint="99" w:sz="6" w:space="0"/>
        <w:insideV w:val="single" w:color="DA9694" w:themeColor="accent2" w:themeTint="99" w:sz="6" w:space="0"/>
      </w:tblBorders>
    </w:tblPr>
    <w:trPr/>
    <w:tcPr/>
    <w:tblStylePr w:type="band2Horz">
      <w:tblPr/>
      <w:trPr/>
      <w:tcPr>
        <w:tcBorders>
          <w:top w:val="single" w:color="DA9694" w:themeColor="accent2" w:themeTint="99" w:sz="6" w:space="0"/>
          <w:bottom w:val="single" w:color="DA9694" w:themeColor="accent2" w:themeTint="99" w:sz="6" w:space="0"/>
          <w:left w:val="single" w:color="DA9694" w:themeColor="accent2" w:themeTint="99" w:sz="6" w:space="0"/>
          <w:right w:val="single" w:color="DA9694" w:themeColor="accent2" w:themeTint="99" w:sz="6" w:space="0"/>
          <w:insideH w:val="single" w:color="DA9694" w:themeColor="accent2" w:themeTint="99" w:sz="6" w:space="0"/>
          <w:insideV w:val="single" w:color="DA9694" w:themeColor="accent2" w:themeTint="99" w:sz="6" w:space="0"/>
          <w:tl2br w:val="nil"/>
          <w:tr2bl w:val="nil"/>
        </w:tcBorders>
        <w:shd w:val="pct50" w:themeColor="accent2" w:themeTint="33" w:themeShade="FF" w:fill="auto"/>
      </w:tcPr>
    </w:tblStylePr>
    <w:tblStylePr w:type="band2Vert">
      <w:tblPr/>
      <w:trPr/>
      <w:tcPr>
        <w:tcBorders>
          <w:top w:val="single" w:color="DA9694" w:themeColor="accent2" w:themeTint="99" w:sz="6" w:space="0"/>
          <w:bottom w:val="single" w:color="DA9694" w:themeColor="accent2" w:themeTint="99" w:sz="6" w:space="0"/>
          <w:left w:val="single" w:color="DA9694" w:themeColor="accent2" w:themeTint="99" w:sz="6" w:space="0"/>
          <w:right w:val="single" w:color="DA9694" w:themeColor="accent2" w:themeTint="99" w:sz="6" w:space="0"/>
          <w:insideH w:val="single" w:color="DA9694" w:themeColor="accent2" w:themeTint="99" w:sz="6" w:space="0"/>
          <w:insideV w:val="single" w:color="DA9694" w:themeColor="accent2" w:themeTint="99" w:sz="6" w:space="0"/>
          <w:tl2br w:val="nil"/>
          <w:tr2bl w:val="nil"/>
        </w:tcBorders>
        <w:shd w:val="pct50" w:themeColor="accent2" w:themeTint="33" w:themeShade="FF" w:fill="auto"/>
      </w:tcPr>
    </w:tblStylePr>
    <w:tblStylePr w:type="lastCol">
      <w:rPr>
        <w:b w:val="1"/>
      </w:rPr>
      <w:tblPr/>
      <w:trPr/>
      <w:tcPr/>
    </w:tblStylePr>
    <w:tblStylePr w:type="firstCol">
      <w:tblPr/>
      <w:trPr/>
      <w:tcPr>
        <w:shd w:val="clear" w:color="auto" w:themeFill="accent2" w:themeFillTint="33" w:themeFillShade="FF"/>
      </w:tcPr>
    </w:tblStylePr>
    <w:tblStylePr w:type="lastRow">
      <w:rPr>
        <w:b w:val="1"/>
      </w:rPr>
      <w:tblPr/>
      <w:trPr/>
      <w:tcPr/>
    </w:tblStylePr>
    <w:tblStylePr w:type="firstRow">
      <w:rPr>
        <w:b w:val="1"/>
      </w:rPr>
      <w:tblPr/>
      <w:trPr/>
      <w:tcPr>
        <w:shd w:val="clear" w:color="auto" w:themeFill="accent2" w:themeFillTint="66" w:themeFillShade="FF"/>
      </w:tcPr>
    </w:tblStyle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image" Target="media/image1.jpg" /><Relationship Id="rId10" Type="http://schemas.openxmlformats.org/officeDocument/2006/relationships/footer" Target="footer3.xml" /><Relationship Id="rId11" Type="http://schemas.openxmlformats.org/officeDocument/2006/relationships/footer" Target="footer4.xml" /><Relationship Id="rId12" Type="http://schemas.openxmlformats.org/officeDocument/2006/relationships/footer" Target="footer5.xml" /><Relationship Id="rId13" Type="http://schemas.openxmlformats.org/officeDocument/2006/relationships/image" Target="media/image2.png" /><Relationship Id="rId14" Type="http://schemas.openxmlformats.org/officeDocument/2006/relationships/image" Target="media/image3.png"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emf" /><Relationship Id="rId20" Type="http://schemas.openxmlformats.org/officeDocument/2006/relationships/image" Target="media/image9.emf" /><Relationship Id="rId21" Type="http://schemas.openxmlformats.org/officeDocument/2006/relationships/image" Target="media/image10.png" /><Relationship Id="rId22" Type="http://schemas.openxmlformats.org/officeDocument/2006/relationships/image" Target="media/image11.png" /><Relationship Id="rId23" Type="http://schemas.openxmlformats.org/officeDocument/2006/relationships/chart" Target="charts/chart1.xml" /><Relationship Id="rId24" Type="http://schemas.openxmlformats.org/officeDocument/2006/relationships/chart" Target="charts/chart2.xml" /><Relationship Id="rId25" Type="http://schemas.openxmlformats.org/officeDocument/2006/relationships/chart" Target="charts/chart3.xml" /><Relationship Id="rId26" Type="http://schemas.openxmlformats.org/officeDocument/2006/relationships/image" Target="media/image12.png" /><Relationship Id="rId27" Type="http://schemas.openxmlformats.org/officeDocument/2006/relationships/image" Target="media/image13.png" /><Relationship Id="rId28" Type="http://schemas.openxmlformats.org/officeDocument/2006/relationships/image" Target="media/image14.png" /><Relationship Id="rId29" Type="http://schemas.openxmlformats.org/officeDocument/2006/relationships/image" Target="media/image15.emf" /><Relationship Id="rId30" Type="http://schemas.openxmlformats.org/officeDocument/2006/relationships/package" Target="embeddings/oleObject1.xlsx" /><Relationship Id="rId31" Type="http://schemas.openxmlformats.org/officeDocument/2006/relationships/image" Target="media/image16.emf" /><Relationship Id="rId32" Type="http://schemas.openxmlformats.org/officeDocument/2006/relationships/image" Target="media/image17.emf" /><Relationship Id="rId33" Type="http://schemas.openxmlformats.org/officeDocument/2006/relationships/package" Target="embeddings/oleObject2.xlsx" /><Relationship Id="rId34" Type="http://schemas.openxmlformats.org/officeDocument/2006/relationships/image" Target="media/image18.emf" /><Relationship Id="rId35" Type="http://schemas.openxmlformats.org/officeDocument/2006/relationships/image" Target="media/image19.png" /><Relationship Id="rId36" Type="http://schemas.openxmlformats.org/officeDocument/2006/relationships/image" Target="media/image20.png" /><Relationship Id="rId37" Type="http://schemas.openxmlformats.org/officeDocument/2006/relationships/image" Target="media/image21.png" /><Relationship Id="rId38" Type="http://schemas.openxmlformats.org/officeDocument/2006/relationships/image" Target="media/image22.png" /><Relationship Id="rId39" Type="http://schemas.openxmlformats.org/officeDocument/2006/relationships/image" Target="media/image23.png" /><Relationship Id="rId40" Type="http://schemas.openxmlformats.org/officeDocument/2006/relationships/image" Target="media/image24.png" /><Relationship Id="rId41" Type="http://schemas.openxmlformats.org/officeDocument/2006/relationships/image" Target="media/image25.png" /><Relationship Id="rId42" Type="http://schemas.openxmlformats.org/officeDocument/2006/relationships/image" Target="media/image26.png" /><Relationship Id="rId43" Type="http://schemas.openxmlformats.org/officeDocument/2006/relationships/image" Target="media/image27.png" /><Relationship Id="rId44" Type="http://schemas.openxmlformats.org/officeDocument/2006/relationships/image" Target="media/image28.png" /><Relationship Id="rId45" Type="http://schemas.openxmlformats.org/officeDocument/2006/relationships/image" Target="media/image29.png" /><Relationship Id="rId46" Type="http://schemas.openxmlformats.org/officeDocument/2006/relationships/image" Target="media/image30.png" /><Relationship Id="rId47" Type="http://schemas.openxmlformats.org/officeDocument/2006/relationships/image" Target="media/image31.png" /><Relationship Id="rId48" Type="http://schemas.openxmlformats.org/officeDocument/2006/relationships/image" Target="media/image32.png" /><Relationship Id="rId49" Type="http://schemas.openxmlformats.org/officeDocument/2006/relationships/image" Target="media/image33.png" /><Relationship Id="rId50" Type="http://schemas.openxmlformats.org/officeDocument/2006/relationships/image" Target="media/image34.png" /><Relationship Id="rId51" Type="http://schemas.openxmlformats.org/officeDocument/2006/relationships/image" Target="media/image35.png" /><Relationship Id="rId52" Type="http://schemas.openxmlformats.org/officeDocument/2006/relationships/image" Target="media/image36.png" /><Relationship Id="rId53" Type="http://schemas.openxmlformats.org/officeDocument/2006/relationships/image" Target="media/image37.png" /><Relationship Id="rId54" Type="http://schemas.openxmlformats.org/officeDocument/2006/relationships/image" Target="media/image38.png" /><Relationship Id="rId55" Type="http://schemas.openxmlformats.org/officeDocument/2006/relationships/image" Target="media/image39.png" /><Relationship Id="rId56" Type="http://schemas.openxmlformats.org/officeDocument/2006/relationships/image" Target="media/image40.png" /><Relationship Id="rId57" Type="http://schemas.openxmlformats.org/officeDocument/2006/relationships/image" Target="media/image41.png" /><Relationship Id="rId58" Type="http://schemas.openxmlformats.org/officeDocument/2006/relationships/image" Target="media/image42.png" /><Relationship Id="rId59" Type="http://schemas.microsoft.com/office/2011/relationships/commentsExtended" Target="commentsExtended.xml" /></Relationships>
</file>

<file path=word/charts/_rels/chart1.xml.rels><?xml version="1.0" encoding="UTF-8"?><Relationships xmlns="http://schemas.openxmlformats.org/package/2006/relationships"><Relationship Id="rId1" Type="http://schemas.openxmlformats.org/officeDocument/2006/relationships/oleObject" Target="file:///\\Naibufsv\data\&#24179;&#25104;31&#24180;&#24230;\203000&#29872;&#22659;&#29983;&#27963;&#35506;\03%20&#20302;&#28845;&#32032;&#37117;&#24066;&#25512;&#36914;&#20418;\&#29872;&#22659;&#22577;&#21578;&#26360;\R1\&#31532;2&#31456;\&#27941;&#23665;&#24066;_&#35519;&#26619;_&#32113;&#35336;&#12487;&#12540;&#12479;.xlsx" TargetMode="External" /><Relationship Id="rId2" Type="http://schemas.openxmlformats.org/officeDocument/2006/relationships/chartUserShapes" Target="../drawings/drawing2.xml" /><Relationship Id="rId3" Type="http://schemas.microsoft.com/office/2011/relationships/chartColorStyle" Target="colors1.xml" /><Relationship Id="rId4" Type="http://schemas.microsoft.com/office/2011/relationships/chartStyle" Target="style1.xml" /></Relationships>
</file>

<file path=word/charts/_rels/chart2.xml.rels><?xml version="1.0" encoding="UTF-8"?><Relationships xmlns="http://schemas.openxmlformats.org/package/2006/relationships"><Relationship Id="rId1" Type="http://schemas.openxmlformats.org/officeDocument/2006/relationships/oleObject" Target="file:///\\Naibufsv\data\&#24179;&#25104;31&#24180;&#24230;\203000&#29872;&#22659;&#29983;&#27963;&#35506;\03%20&#20302;&#28845;&#32032;&#37117;&#24066;&#25512;&#36914;&#20418;\&#29872;&#22659;&#22577;&#21578;&#26360;\R1\&#31532;2&#31456;\&#27941;&#23665;&#24066;_&#35519;&#26619;_&#32113;&#35336;&#12487;&#12540;&#12479;.xlsx" TargetMode="External" /><Relationship Id="rId2" Type="http://schemas.microsoft.com/office/2011/relationships/chartColorStyle" Target="colors2.xml" /><Relationship Id="rId3" Type="http://schemas.microsoft.com/office/2011/relationships/chartStyle" Target="style2.xml" /></Relationships>
</file>

<file path=word/charts/_rels/chart3.xml.rels><?xml version="1.0" encoding="UTF-8"?><Relationships xmlns="http://schemas.openxmlformats.org/package/2006/relationships"><Relationship Id="rId1" Type="http://schemas.openxmlformats.org/officeDocument/2006/relationships/oleObject" Target="../embeddings/oleObject1.bin" /><Relationship Id="rId2" Type="http://schemas.openxmlformats.org/officeDocument/2006/relationships/chartUserShapes" Target="../drawings/drawing1.xml" /><Relationship Id="rId3" Type="http://schemas.openxmlformats.org/officeDocument/2006/relationships/themeOverride" Target="../theme/themeOverride1.xml" /></Relationships>
</file>

<file path=word/charts/chart1.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6385289906943451"/>
          <c:y val="6.6011363964119871e-002"/>
          <c:w val="0.71403758239074766"/>
          <c:h val="0.8732489182095482"/>
        </c:manualLayout>
      </c:layout>
      <c:pieChart>
        <c:varyColors val="1"/>
        <c:ser>
          <c:idx val="0"/>
          <c:order val="0"/>
          <c:tx>
            <c:strRef>
              <c:f>'[0]農・工・商業'!$A$70</c:f>
              <c:strCache>
                <c:ptCount val="1"/>
                <c:pt idx="0">
                  <c:v>H28割合</c:v>
                </c:pt>
              </c:strCache>
            </c:strRef>
          </c:tx>
          <c:spPr>
            <a:noFill/>
            <a:ln w="3175">
              <a:solidFill>
                <a:schemeClr val="tx1"/>
              </a:solidFill>
            </a:ln>
            <a:effectLst/>
          </c:spPr>
          <c:dPt>
            <c:idx val="0"/>
            <c:invertIfNegative val="0"/>
            <c:bubble3D val="0"/>
            <c:spPr>
              <a:solidFill>
                <a:schemeClr val="bg1">
                  <a:lumMod val="75000"/>
                </a:schemeClr>
              </a:solidFill>
              <a:ln w="3175">
                <a:solidFill>
                  <a:schemeClr val="tx1"/>
                </a:solidFill>
              </a:ln>
              <a:effectLst/>
            </c:spPr>
          </c:dPt>
          <c:dPt>
            <c:idx val="1"/>
            <c:invertIfNegative val="0"/>
            <c:bubble3D val="0"/>
            <c:spPr>
              <a:solidFill>
                <a:schemeClr val="bg1"/>
              </a:solidFill>
              <a:ln w="3175">
                <a:solidFill>
                  <a:schemeClr val="tx1"/>
                </a:solidFill>
              </a:ln>
              <a:effectLst/>
            </c:spPr>
          </c:dPt>
          <c:dPt>
            <c:idx val="2"/>
            <c:invertIfNegative val="0"/>
            <c:bubble3D val="0"/>
            <c:spPr>
              <a:solidFill>
                <a:schemeClr val="tx1">
                  <a:lumMod val="50000"/>
                  <a:lumOff val="50000"/>
                </a:schemeClr>
              </a:solidFill>
              <a:ln w="3175">
                <a:solidFill>
                  <a:schemeClr val="tx1"/>
                </a:solidFill>
              </a:ln>
              <a:effectLst/>
            </c:spPr>
          </c:dPt>
          <c:dLbls>
            <c:dLbl>
              <c:idx val="0"/>
              <c:layout>
                <c:manualLayout>
                  <c:x val="-0.15726348126938677"/>
                  <c:y val="0.20495399613509849"/>
                </c:manualLayout>
              </c:layout>
              <c:spPr>
                <a:noFill/>
                <a:ln>
                  <a:noFill/>
                </a:ln>
                <a:effectLst/>
              </c:spPr>
              <c:txPr>
                <a:bodyPr rot="0" spcFirstLastPara="1" vertOverflow="ellipsis" horzOverflow="overflow" wrap="square" anchor="ctr" anchorCtr="1">
                  <a:spAutoFit/>
                </a:bodyPr>
                <a:lstStyle/>
                <a:p>
                  <a:pPr algn="ctr" rtl="0">
                    <a:defRPr lang="ja-JP" altLang="en-US" sz="1000" b="0" i="0" u="none" strike="noStrike" kern="1200" baseline="0">
                      <a:solidFill>
                        <a:sysClr val="windowText" lastClr="000000"/>
                      </a:solidFill>
                      <a:latin typeface="ＭＳ ゴシック"/>
                      <a:ea typeface="ＭＳ ゴシック"/>
                      <a:cs typeface="+mn-cs"/>
                    </a:defRPr>
                  </a:pPr>
                  <a:endParaRPr lang="ja-JP" altLang="en-US"/>
                </a:p>
              </c:txPr>
              <c:showLegendKey val="0"/>
              <c:showVal val="1"/>
              <c:showCatName val="1"/>
              <c:showSerName val="0"/>
              <c:showPercent val="0"/>
              <c:showBubbleSize val="0"/>
              <c:separator xml:space="preserve"> </c:separator>
            </c:dLbl>
            <c:dLbl>
              <c:idx val="1"/>
              <c:layout>
                <c:manualLayout>
                  <c:x val="0.22348484848484845"/>
                  <c:y val="-0.20024420024420025"/>
                </c:manualLayout>
              </c:layout>
              <c:spPr>
                <a:noFill/>
                <a:ln>
                  <a:noFill/>
                </a:ln>
                <a:effectLst/>
              </c:spPr>
              <c:txPr>
                <a:bodyPr rot="0" spcFirstLastPara="1" vertOverflow="ellipsis" horzOverflow="overflow" wrap="square" anchor="ctr" anchorCtr="1">
                  <a:spAutoFit/>
                </a:bodyPr>
                <a:lstStyle/>
                <a:p>
                  <a:pPr algn="ctr" rtl="0">
                    <a:defRPr lang="ja-JP" altLang="en-US" sz="1000" b="0" i="0" u="none" strike="noStrike" kern="1200" baseline="0">
                      <a:solidFill>
                        <a:sysClr val="windowText" lastClr="000000"/>
                      </a:solidFill>
                      <a:latin typeface="ＭＳ ゴシック"/>
                      <a:ea typeface="ＭＳ ゴシック"/>
                      <a:cs typeface="+mn-cs"/>
                    </a:defRPr>
                  </a:pPr>
                  <a:endParaRPr lang="ja-JP" altLang="en-US"/>
                </a:p>
              </c:txPr>
              <c:showLegendKey val="0"/>
              <c:showVal val="1"/>
              <c:showCatName val="1"/>
              <c:showSerName val="0"/>
              <c:showPercent val="0"/>
              <c:showBubbleSize val="0"/>
              <c:separator xml:space="preserve"> </c:separator>
            </c:dLbl>
            <c:dLbl>
              <c:idx val="2"/>
              <c:layout>
                <c:manualLayout>
                  <c:x val="0.14937634216177523"/>
                  <c:y val="0.16117216117216118"/>
                </c:manualLayout>
              </c:layout>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1000" b="0" i="0" u="none" strike="noStrike" kern="1200" baseline="0">
                      <a:solidFill>
                        <a:schemeClr val="bg1"/>
                      </a:solidFill>
                      <a:latin typeface="ＭＳ ゴシック"/>
                      <a:ea typeface="ＭＳ ゴシック"/>
                      <a:cs typeface="+mn-cs"/>
                    </a:defRPr>
                  </a:pPr>
                  <a:endParaRPr lang="ja-JP" altLang="en-US"/>
                </a:p>
              </c:txPr>
              <c:showLegendKey val="0"/>
              <c:showVal val="1"/>
              <c:showCatName val="1"/>
              <c:showSerName val="0"/>
              <c:showPercent val="0"/>
              <c:showBubbleSize val="0"/>
              <c:separator xml:space="preserve"> </c:separator>
            </c:dLbl>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1000" b="0" i="0" u="none" strike="noStrike" kern="1200" baseline="0">
                    <a:solidFill>
                      <a:sysClr val="windowText" lastClr="000000"/>
                    </a:solidFill>
                    <a:latin typeface="ＭＳ ゴシック"/>
                    <a:ea typeface="ＭＳ ゴシック"/>
                    <a:cs typeface="+mn-cs"/>
                  </a:defRPr>
                </a:pPr>
                <a:endParaRPr lang="ja-JP" altLang="en-US"/>
              </a:p>
            </c:txPr>
            <c:showLegendKey val="0"/>
            <c:showVal val="1"/>
            <c:showCatName val="1"/>
            <c:showSerName val="0"/>
            <c:showPercent val="0"/>
            <c:showBubbleSize val="0"/>
            <c:separator xml:space="preserve"> </c:separator>
            <c:showLeaderLines val="1"/>
            <c:leaderLines>
              <c:spPr>
                <a:noFill/>
                <a:ln w="3175" cap="flat" cmpd="sng" algn="ctr">
                  <a:solidFill>
                    <a:schemeClr val="tx1"/>
                  </a:solidFill>
                  <a:prstDash val="solid"/>
                  <a:round/>
                </a:ln>
                <a:effectLst/>
              </c:spPr>
            </c:leaderLines>
          </c:dLbls>
          <c:cat>
            <c:strRef>
              <c:f>'[0]農・工・商業'!$B$63:$C$63</c:f>
              <c:strCache>
                <c:ptCount val="2"/>
                <c:pt idx="0">
                  <c:v>卸売</c:v>
                </c:pt>
                <c:pt idx="1">
                  <c:v>小売</c:v>
                </c:pt>
              </c:strCache>
            </c:strRef>
          </c:cat>
          <c:val>
            <c:numRef>
              <c:f>'[津山市_調査_統計データ.xlsx]農・工・商業'!$B$70:$C$70</c:f>
              <c:numCache>
                <c:formatCode>0.0%</c:formatCode>
                <c:ptCount val="2"/>
                <c:pt idx="0">
                  <c:v>0.22937443336355395</c:v>
                </c:pt>
                <c:pt idx="1">
                  <c:v>0.7706255666364461</c:v>
                </c:pt>
              </c:numCache>
            </c:numRef>
          </c:val>
        </c:ser>
        <c:dLbls>
          <c:txPr>
            <a:bodyPr rot="0" spcFirstLastPara="1" vertOverflow="ellipsis" horzOverflow="overflow" wrap="square" anchor="ctr" anchorCtr="1">
              <a:spAutoFit/>
            </a:bodyPr>
            <a:lstStyle/>
            <a:p>
              <a:pPr algn="ctr" rtl="0">
                <a:defRPr lang="ja-JP" altLang="en-US" sz="1000">
                  <a:solidFill>
                    <a:schemeClr val="tx1"/>
                  </a:solidFill>
                </a:defRPr>
              </a:pPr>
              <a:endParaRPr lang="ja-JP" altLang="en-US"/>
            </a:p>
          </c:txPr>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noFill/>
    <a:ln w="9525" cap="flat" cmpd="sng" algn="ctr">
      <a:noFill/>
      <a:prstDash val="solid"/>
      <a:round/>
    </a:ln>
    <a:effectLst/>
  </c:spPr>
  <c:txPr>
    <a:bodyPr vertOverflow="overflow" horzOverflow="overflow" anchor="ctr" anchorCtr="1"/>
    <a:lstStyle/>
    <a:p>
      <a:pPr algn="ctr" rtl="0">
        <a:defRPr lang="ja-JP" altLang="en-US"/>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hart2.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7336683417085427"/>
          <c:y val="7.4561403508771926e-002"/>
          <c:w val="0.62060301507537685"/>
          <c:h val="0.66666666666666652"/>
        </c:manualLayout>
      </c:layout>
      <c:barChart>
        <c:barDir val="col"/>
        <c:grouping val="clustered"/>
        <c:varyColors val="0"/>
        <c:ser>
          <c:idx val="1"/>
          <c:order val="0"/>
          <c:tx>
            <c:strRef>
              <c:f>'[0]農・工・商業'!$J$62</c:f>
              <c:strCache>
                <c:ptCount val="1"/>
                <c:pt idx="0">
                  <c:v>商店数</c:v>
                </c:pt>
              </c:strCache>
            </c:strRef>
          </c:tx>
          <c:spPr>
            <a:solidFill>
              <a:schemeClr val="bg1"/>
            </a:solidFill>
            <a:ln w="6350">
              <a:solidFill>
                <a:schemeClr val="tx1">
                  <a:lumMod val="75000"/>
                  <a:lumOff val="25000"/>
                </a:schemeClr>
              </a:solidFill>
            </a:ln>
            <a:effectLst/>
          </c:spPr>
          <c:invertIfNegative val="0"/>
          <c:dPt>
            <c:idx val="2"/>
            <c:invertIfNegative val="0"/>
            <c:bubble3D val="0"/>
            <c:spPr>
              <a:solidFill>
                <a:schemeClr val="bg1"/>
              </a:solidFill>
              <a:ln w="6350">
                <a:solidFill>
                  <a:schemeClr val="tx1">
                    <a:lumMod val="75000"/>
                    <a:lumOff val="25000"/>
                  </a:schemeClr>
                </a:solidFill>
              </a:ln>
              <a:effectLst/>
            </c:spPr>
          </c:dPt>
          <c:dPt>
            <c:idx val="4"/>
            <c:invertIfNegative val="0"/>
            <c:bubble3D val="0"/>
            <c:spPr>
              <a:solidFill>
                <a:schemeClr val="bg1"/>
              </a:solidFill>
              <a:ln w="6350">
                <a:solidFill>
                  <a:schemeClr val="tx1">
                    <a:lumMod val="75000"/>
                    <a:lumOff val="25000"/>
                  </a:schemeClr>
                </a:solidFill>
              </a:ln>
              <a:effectLst/>
            </c:spPr>
          </c:dPt>
          <c:dLbls>
            <c:dLbl>
              <c:idx val="2"/>
              <c:layout>
                <c:manualLayout>
                  <c:x val="-9.3490059122486487e-003"/>
                  <c:y val="8.1344133058636487e-003"/>
                </c:manualLayout>
              </c:layout>
              <c:spPr>
                <a:noFill/>
                <a:ln>
                  <a:noFill/>
                </a:ln>
                <a:effectLst/>
              </c:spPr>
              <c:txPr>
                <a:bodyPr rot="0" spcFirstLastPara="1" vertOverflow="ellipsis" horzOverflow="overflow" wrap="square" lIns="0" tIns="0" rIns="0" bIns="0" anchor="ctr" anchorCtr="1">
                  <a:spAutoFit/>
                </a:bodyPr>
                <a:lstStyle/>
                <a:p>
                  <a:pPr algn="ctr" rtl="0">
                    <a:defRPr lang="ja-JP" altLang="en-US" sz="900" b="0" i="0" u="none" strike="noStrike" kern="1200" baseline="0">
                      <a:solidFill>
                        <a:sysClr val="windowText" lastClr="000000"/>
                      </a:solidFill>
                      <a:latin typeface="ＭＳ ゴシック"/>
                      <a:ea typeface="ＭＳ ゴシック"/>
                      <a:cs typeface="ＭＳ Ｐゴシック"/>
                    </a:defRPr>
                  </a:pPr>
                  <a:endParaRPr lang="ja-JP" altLang="en-US"/>
                </a:p>
              </c:txPr>
              <c:showLegendKey val="0"/>
              <c:showVal val="1"/>
              <c:showCatName val="0"/>
              <c:showSerName val="0"/>
              <c:showPercent val="0"/>
              <c:showBubbleSize val="0"/>
              <c:extLst>
                <c:ext xmlns:c15="http://schemas.microsoft.com/office/drawing/2012/chart" uri="{CE6537A1-D6FC-4f65-9D91-7224C49458BB}">
                  <c15:spPr>
                    <a:prstGeom prst="rect">
                      <a:avLst/>
                    </a:prstGeom>
                    <a:noFill/>
                    <a:ln>
                      <a:noFill/>
                    </a:ln>
                    <a:effectLst/>
                  </c15:spPr>
                </c:ext>
              </c:extLst>
            </c:dLbl>
            <c:dLbl>
              <c:idx val="4"/>
              <c:layout>
                <c:manualLayout>
                  <c:x val="3.1897926634767569e-003"/>
                  <c:y val="1.1851846321681507e-002"/>
                </c:manualLayout>
              </c:layout>
              <c:spPr>
                <a:noFill/>
                <a:ln>
                  <a:noFill/>
                </a:ln>
                <a:effectLst/>
              </c:spPr>
              <c:txPr>
                <a:bodyPr rot="0" spcFirstLastPara="1" vertOverflow="ellipsis" horzOverflow="overflow" wrap="square" anchor="ctr" anchorCtr="1">
                  <a:spAutoFit/>
                </a:bodyPr>
                <a:lstStyle/>
                <a:p>
                  <a:pPr algn="ctr" rtl="0">
                    <a:defRPr lang="ja-JP" altLang="en-US" sz="900" b="0" i="0" u="none" strike="noStrike" kern="1200" baseline="0">
                      <a:solidFill>
                        <a:sysClr val="windowText" lastClr="000000"/>
                      </a:solidFill>
                      <a:latin typeface="ＭＳ ゴシック"/>
                      <a:ea typeface="ＭＳ ゴシック"/>
                      <a:cs typeface="ＭＳ Ｐゴシック"/>
                    </a:defRPr>
                  </a:pPr>
                  <a:endParaRPr lang="ja-JP" altLang="en-US"/>
                </a:p>
              </c:txPr>
              <c:showLegendKey val="0"/>
              <c:showVal val="1"/>
              <c:showCatName val="0"/>
              <c:showSerName val="0"/>
              <c:showPercent val="0"/>
              <c:showBubbleSize val="0"/>
              <c:extLst>
                <c:ext xmlns:c15="http://schemas.microsoft.com/office/drawing/2012/chart" uri="{CE6537A1-D6FC-4f65-9D91-7224C49458BB}">
                  <c15:spPr>
                    <a:prstGeom prst="rect">
                      <a:avLst/>
                    </a:prstGeom>
                    <a:noFill/>
                    <a:ln>
                      <a:noFill/>
                    </a:ln>
                    <a:effectLst/>
                  </c15:spPr>
                </c:ext>
              </c:extLst>
            </c:dLbl>
            <c:spPr>
              <a:noFill/>
              <a:ln>
                <a:noFill/>
              </a:ln>
              <a:effectLst/>
            </c:spPr>
            <c:txPr>
              <a:bodyPr rot="0" spcFirstLastPara="1" vertOverflow="ellipsis" horzOverflow="overflow" wrap="square" lIns="0" tIns="0" rIns="0" bIns="0" anchor="ctr" anchorCtr="1">
                <a:spAutoFit/>
              </a:bodyPr>
              <a:lstStyle/>
              <a:p>
                <a:pPr algn="ctr" rtl="0">
                  <a:defRPr lang="ja-JP" altLang="en-US" sz="900" b="0" i="0" u="none" strike="noStrike" kern="1200" baseline="0">
                    <a:solidFill>
                      <a:sysClr val="windowText" lastClr="000000"/>
                    </a:solidFill>
                    <a:latin typeface="ＭＳ ゴシック"/>
                    <a:ea typeface="ＭＳ ゴシック"/>
                    <a:cs typeface="ＭＳ Ｐゴシック"/>
                  </a:defRPr>
                </a:pPr>
                <a:endParaRPr lang="ja-JP" altLang="en-US"/>
              </a:p>
            </c:txPr>
            <c:dLblPos val="outEnd"/>
            <c:showLegendKey val="0"/>
            <c:showVal val="1"/>
            <c:showCatName val="0"/>
            <c:showSerName val="0"/>
            <c:showPercent val="0"/>
            <c:showBubbleSize val="0"/>
            <c:extLst>
              <c:ext xmlns:c15="http://schemas.microsoft.com/office/drawing/2012/chart" uri="{CE6537A1-D6FC-4f65-9D91-7224C49458BB}">
                <c15:spPr>
                  <a:prstGeom prst="rect">
                    <a:avLst/>
                  </a:prstGeom>
                  <a:noFill/>
                  <a:ln>
                    <a:noFill/>
                  </a:ln>
                  <a:effectLst/>
                </c15:spPr>
                <c15:showLeaderLines val="1"/>
                <c15:leaderLines>
                  <c:spPr>
                    <a:noFill/>
                    <a:ln w="9525" cap="flat" cmpd="sng" algn="ctr">
                      <a:solidFill>
                        <a:schemeClr val="tx1">
                          <a:shade val="95000"/>
                          <a:satMod val="105000"/>
                        </a:schemeClr>
                      </a:solidFill>
                      <a:prstDash val="solid"/>
                      <a:round/>
                    </a:ln>
                    <a:effectLst/>
                  </c:spPr>
                </c15:leaderLines>
              </c:ext>
            </c:extLst>
          </c:dLbls>
          <c:cat>
            <c:strRef>
              <c:f>'[0]農・工・商業'!$I$64:$I$68</c:f>
              <c:strCache>
                <c:ptCount val="5"/>
                <c:pt idx="0">
                  <c:v>H16</c:v>
                </c:pt>
                <c:pt idx="1">
                  <c:v>H19</c:v>
                </c:pt>
                <c:pt idx="2">
                  <c:v>H24</c:v>
                </c:pt>
                <c:pt idx="3">
                  <c:v>H26</c:v>
                </c:pt>
                <c:pt idx="4">
                  <c:v>H28</c:v>
                </c:pt>
              </c:strCache>
            </c:strRef>
          </c:cat>
          <c:val>
            <c:numRef>
              <c:f>'[津山市_調査_統計データ.xlsx]農・工・商業'!$J$64:$J$68</c:f>
              <c:numCache>
                <c:formatCode>#,##0;[Red]\-#,##0</c:formatCode>
                <c:ptCount val="5"/>
                <c:pt idx="0">
                  <c:v>1380</c:v>
                </c:pt>
                <c:pt idx="1">
                  <c:v>1211</c:v>
                </c:pt>
                <c:pt idx="2">
                  <c:v>952</c:v>
                </c:pt>
                <c:pt idx="3">
                  <c:v>800</c:v>
                </c:pt>
                <c:pt idx="4">
                  <c:v>850</c:v>
                </c:pt>
              </c:numCache>
            </c:numRef>
          </c:val>
        </c:ser>
        <c:ser>
          <c:idx val="0"/>
          <c:order val="1"/>
          <c:tx>
            <c:strRef>
              <c:f>'[0]農・工・商業'!$K$62</c:f>
              <c:strCache>
                <c:ptCount val="1"/>
                <c:pt idx="0">
                  <c:v>従業者数</c:v>
                </c:pt>
              </c:strCache>
            </c:strRef>
          </c:tx>
          <c:spPr>
            <a:solidFill>
              <a:schemeClr val="bg1">
                <a:lumMod val="75000"/>
              </a:schemeClr>
            </a:solidFill>
            <a:ln w="6350">
              <a:solidFill>
                <a:schemeClr val="tx1">
                  <a:lumMod val="75000"/>
                  <a:lumOff val="25000"/>
                </a:schemeClr>
              </a:solidFill>
            </a:ln>
            <a:effectLst/>
          </c:spPr>
          <c:invertIfNegative val="0"/>
          <c:dPt>
            <c:idx val="0"/>
            <c:invertIfNegative val="0"/>
            <c:bubble3D val="0"/>
            <c:spPr>
              <a:solidFill>
                <a:schemeClr val="bg1">
                  <a:lumMod val="75000"/>
                </a:schemeClr>
              </a:solidFill>
              <a:ln w="6350">
                <a:solidFill>
                  <a:schemeClr val="tx1">
                    <a:lumMod val="75000"/>
                    <a:lumOff val="25000"/>
                  </a:schemeClr>
                </a:solidFill>
              </a:ln>
              <a:effectLst/>
            </c:spPr>
          </c:dPt>
          <c:dPt>
            <c:idx val="1"/>
            <c:invertIfNegative val="0"/>
            <c:bubble3D val="0"/>
            <c:spPr>
              <a:solidFill>
                <a:schemeClr val="bg1">
                  <a:lumMod val="75000"/>
                </a:schemeClr>
              </a:solidFill>
              <a:ln w="6350">
                <a:solidFill>
                  <a:schemeClr val="tx1">
                    <a:lumMod val="75000"/>
                    <a:lumOff val="25000"/>
                  </a:schemeClr>
                </a:solidFill>
              </a:ln>
              <a:effectLst/>
            </c:spPr>
          </c:dPt>
          <c:dPt>
            <c:idx val="2"/>
            <c:invertIfNegative val="0"/>
            <c:bubble3D val="0"/>
            <c:spPr>
              <a:solidFill>
                <a:schemeClr val="bg1">
                  <a:lumMod val="75000"/>
                </a:schemeClr>
              </a:solidFill>
              <a:ln w="6350">
                <a:solidFill>
                  <a:schemeClr val="tx1">
                    <a:lumMod val="75000"/>
                    <a:lumOff val="25000"/>
                  </a:schemeClr>
                </a:solidFill>
              </a:ln>
              <a:effectLst/>
            </c:spPr>
          </c:dPt>
          <c:dLbls>
            <c:dLbl>
              <c:idx val="0"/>
              <c:layout>
                <c:manualLayout>
                  <c:x val="-9.5693779904306511e-003"/>
                  <c:y val="0.37469845450057526"/>
                </c:manualLayout>
              </c:layout>
              <c:spPr>
                <a:noFill/>
                <a:ln>
                  <a:noFill/>
                </a:ln>
                <a:effectLst/>
              </c:spPr>
              <c:txPr>
                <a:bodyPr rot="0" spcFirstLastPara="1" vertOverflow="ellipsis" horzOverflow="overflow" wrap="square" anchor="ctr" anchorCtr="1">
                  <a:spAutoFit/>
                </a:bodyPr>
                <a:lstStyle/>
                <a:p>
                  <a:pPr algn="ctr" rtl="0">
                    <a:defRPr lang="ja-JP" altLang="en-US" sz="900" b="0" i="0" u="none" strike="noStrike" kern="1200" baseline="0">
                      <a:solidFill>
                        <a:srgbClr val="000000"/>
                      </a:solidFill>
                      <a:latin typeface="ＭＳ ゴシック"/>
                      <a:ea typeface="ＭＳ ゴシック"/>
                      <a:cs typeface="ＭＳ Ｐゴシック"/>
                    </a:defRPr>
                  </a:pPr>
                  <a:endParaRPr lang="ja-JP" altLang="en-US"/>
                </a:p>
              </c:txPr>
              <c:showLegendKey val="0"/>
              <c:showVal val="1"/>
              <c:showCatName val="0"/>
              <c:showSerName val="0"/>
              <c:showPercent val="0"/>
              <c:showBubbleSize val="0"/>
              <c:extLst>
                <c:ext xmlns:c15="http://schemas.microsoft.com/office/drawing/2012/chart" uri="{CE6537A1-D6FC-4f65-9D91-7224C49458BB}">
                  <c15:spPr>
                    <a:prstGeom prst="rect">
                      <a:avLst/>
                    </a:prstGeom>
                    <a:noFill/>
                    <a:ln>
                      <a:noFill/>
                    </a:ln>
                    <a:effectLst/>
                  </c15:spPr>
                </c:ext>
              </c:extLst>
            </c:dLbl>
            <c:dLbl>
              <c:idx val="1"/>
              <c:layout>
                <c:manualLayout>
                  <c:x val="-9.5693779904306216e-003"/>
                  <c:y val="0.3666452649074296"/>
                </c:manualLayout>
              </c:layout>
              <c:spPr>
                <a:noFill/>
                <a:ln>
                  <a:noFill/>
                </a:ln>
                <a:effectLst/>
              </c:spPr>
              <c:txPr>
                <a:bodyPr rot="0" spcFirstLastPara="1" vertOverflow="ellipsis" horzOverflow="overflow" wrap="square" anchor="ctr" anchorCtr="1">
                  <a:spAutoFit/>
                </a:bodyPr>
                <a:lstStyle/>
                <a:p>
                  <a:pPr algn="ctr" rtl="0">
                    <a:defRPr lang="ja-JP" altLang="en-US" sz="900" b="0" i="0" u="none" strike="noStrike" kern="1200" baseline="0">
                      <a:solidFill>
                        <a:srgbClr val="000000"/>
                      </a:solidFill>
                      <a:latin typeface="ＭＳ ゴシック"/>
                      <a:ea typeface="ＭＳ ゴシック"/>
                      <a:cs typeface="ＭＳ Ｐゴシック"/>
                    </a:defRPr>
                  </a:pPr>
                  <a:endParaRPr lang="ja-JP" altLang="en-US"/>
                </a:p>
              </c:txPr>
              <c:showLegendKey val="0"/>
              <c:showVal val="1"/>
              <c:showCatName val="0"/>
              <c:showSerName val="0"/>
              <c:showPercent val="0"/>
              <c:showBubbleSize val="0"/>
              <c:extLst>
                <c:ext xmlns:c15="http://schemas.microsoft.com/office/drawing/2012/chart" uri="{CE6537A1-D6FC-4f65-9D91-7224C49458BB}">
                  <c15:spPr>
                    <a:prstGeom prst="rect">
                      <a:avLst/>
                    </a:prstGeom>
                    <a:noFill/>
                    <a:ln>
                      <a:noFill/>
                    </a:ln>
                    <a:effectLst/>
                  </c15:spPr>
                </c:ext>
              </c:extLst>
            </c:dLbl>
            <c:dLbl>
              <c:idx val="2"/>
              <c:layout>
                <c:manualLayout>
                  <c:x val="-1.2794418974390603e-002"/>
                  <c:y val="0.28426179604261798"/>
                </c:manualLayout>
              </c:layout>
              <c:spPr>
                <a:noFill/>
                <a:ln>
                  <a:noFill/>
                </a:ln>
                <a:effectLst/>
              </c:spPr>
              <c:txPr>
                <a:bodyPr rot="0" spcFirstLastPara="1" vertOverflow="ellipsis" horzOverflow="overflow" wrap="square" anchor="ctr" anchorCtr="1">
                  <a:spAutoFit/>
                </a:bodyPr>
                <a:lstStyle/>
                <a:p>
                  <a:pPr algn="ctr" rtl="0">
                    <a:defRPr lang="ja-JP" altLang="en-US" sz="900" b="0" i="0" u="none" strike="noStrike" kern="1200" baseline="0">
                      <a:solidFill>
                        <a:srgbClr val="000000"/>
                      </a:solidFill>
                      <a:latin typeface="ＭＳ ゴシック"/>
                      <a:ea typeface="ＭＳ ゴシック"/>
                      <a:cs typeface="ＭＳ Ｐゴシック"/>
                    </a:defRPr>
                  </a:pPr>
                  <a:endParaRPr lang="ja-JP" altLang="en-US"/>
                </a:p>
              </c:txPr>
              <c:showLegendKey val="0"/>
              <c:showVal val="1"/>
              <c:showCatName val="0"/>
              <c:showSerName val="0"/>
              <c:showPercent val="0"/>
              <c:showBubbleSize val="0"/>
              <c:extLst>
                <c:ext xmlns:c15="http://schemas.microsoft.com/office/drawing/2012/chart" uri="{CE6537A1-D6FC-4f65-9D91-7224C49458BB}">
                  <c15:spPr>
                    <a:prstGeom prst="rect">
                      <a:avLst/>
                    </a:prstGeom>
                    <a:noFill/>
                    <a:ln>
                      <a:noFill/>
                    </a:ln>
                    <a:effectLst/>
                  </c15:spPr>
                </c:ext>
              </c:extLst>
            </c:dLbl>
            <c:spPr>
              <a:noFill/>
              <a:ln>
                <a:noFill/>
              </a:ln>
              <a:effectLst/>
            </c:spPr>
            <c:txPr>
              <a:bodyPr rot="0" spcFirstLastPara="1" vertOverflow="ellipsis" horzOverflow="overflow" wrap="square" lIns="0" tIns="0" rIns="0" bIns="0" anchor="ctr" anchorCtr="1">
                <a:spAutoFit/>
              </a:bodyPr>
              <a:lstStyle/>
              <a:p>
                <a:pPr algn="ctr" rtl="0">
                  <a:defRPr lang="ja-JP" altLang="en-US" sz="900" b="0" i="0" u="none" strike="noStrike" kern="1200" baseline="0">
                    <a:solidFill>
                      <a:srgbClr val="000000"/>
                    </a:solidFill>
                    <a:latin typeface="ＭＳ ゴシック"/>
                    <a:ea typeface="ＭＳ ゴシック"/>
                    <a:cs typeface="ＭＳ Ｐゴシック"/>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pPr>
                  <a:prstGeom prst="rect">
                    <a:avLst/>
                  </a:prstGeom>
                  <a:noFill/>
                  <a:ln>
                    <a:noFill/>
                  </a:ln>
                  <a:effectLst/>
                </c15:spPr>
                <c15:showLeaderLines val="1"/>
                <c15:leaderLines>
                  <c:spPr>
                    <a:noFill/>
                    <a:ln w="9525" cap="flat" cmpd="sng" algn="ctr">
                      <a:solidFill>
                        <a:schemeClr val="tx1">
                          <a:shade val="95000"/>
                          <a:satMod val="105000"/>
                        </a:schemeClr>
                      </a:solidFill>
                      <a:prstDash val="solid"/>
                      <a:round/>
                    </a:ln>
                    <a:effectLst/>
                  </c:spPr>
                </c15:leaderLines>
              </c:ext>
            </c:extLst>
          </c:dLbls>
          <c:cat>
            <c:strRef>
              <c:f>'[0]農・工・商業'!$I$64:$I$68</c:f>
              <c:strCache>
                <c:ptCount val="5"/>
                <c:pt idx="0">
                  <c:v>H16</c:v>
                </c:pt>
                <c:pt idx="1">
                  <c:v>H19</c:v>
                </c:pt>
                <c:pt idx="2">
                  <c:v>H24</c:v>
                </c:pt>
                <c:pt idx="3">
                  <c:v>H26</c:v>
                </c:pt>
                <c:pt idx="4">
                  <c:v>H28</c:v>
                </c:pt>
              </c:strCache>
            </c:strRef>
          </c:cat>
          <c:val>
            <c:numRef>
              <c:f>'[津山市_調査_統計データ.xlsx]農・工・商業'!$K$64:$K$68</c:f>
              <c:numCache>
                <c:formatCode>#,##0;[Red]\-#,##0</c:formatCode>
                <c:ptCount val="5"/>
                <c:pt idx="0">
                  <c:v>8347</c:v>
                </c:pt>
                <c:pt idx="1">
                  <c:v>7654</c:v>
                </c:pt>
                <c:pt idx="2">
                  <c:v>5793</c:v>
                </c:pt>
                <c:pt idx="3">
                  <c:v>6841</c:v>
                </c:pt>
                <c:pt idx="4">
                  <c:v>6254</c:v>
                </c:pt>
              </c:numCache>
            </c:numRef>
          </c:val>
        </c:ser>
        <c:dLbls>
          <c:txPr>
            <a:bodyPr rot="0" spcFirstLastPara="1" vertOverflow="ellipsis" horzOverflow="overflow" wrap="square" anchor="ctr" anchorCtr="1">
              <a:spAutoFit/>
            </a:bodyPr>
            <a:lstStyle/>
            <a:p>
              <a:pPr algn="ctr" rtl="0">
                <a:defRPr lang="ja-JP" altLang="en-US" sz="1100" b="0" i="0" u="none" strike="noStrike" baseline="0">
                  <a:solidFill>
                    <a:srgbClr val="000000"/>
                  </a:solidFill>
                  <a:latin typeface="ＭＳ Ｐゴシック"/>
                  <a:ea typeface="ＭＳ Ｐゴシック"/>
                  <a:cs typeface="ＭＳ Ｐゴシック"/>
                </a:defRPr>
              </a:pPr>
              <a:endParaRPr lang="ja-JP" altLang="en-US"/>
            </a:p>
          </c:txPr>
          <c:showLegendKey val="0"/>
          <c:showVal val="0"/>
          <c:showCatName val="0"/>
          <c:showSerName val="0"/>
          <c:showPercent val="0"/>
          <c:showBubbleSize val="0"/>
        </c:dLbls>
        <c:gapWidth val="100"/>
        <c:overlap val="0"/>
        <c:axId val="11"/>
        <c:axId val="12"/>
      </c:barChart>
      <c:lineChart>
        <c:grouping val="standard"/>
        <c:varyColors val="0"/>
        <c:ser>
          <c:idx val="2"/>
          <c:order val="2"/>
          <c:tx>
            <c:strRef>
              <c:f>'[0]農・工・商業'!$L$62</c:f>
              <c:strCache>
                <c:ptCount val="1"/>
                <c:pt idx="0">
                  <c:v>売場面積</c:v>
                </c:pt>
              </c:strCache>
            </c:strRef>
          </c:tx>
          <c:spPr>
            <a:noFill/>
            <a:ln w="12700" cap="rnd" cmpd="sng" algn="ctr">
              <a:solidFill>
                <a:schemeClr val="tx1"/>
              </a:solidFill>
              <a:prstDash val="solid"/>
              <a:round/>
            </a:ln>
            <a:effectLst/>
          </c:spPr>
          <c:marker>
            <c:symbol val="circle"/>
            <c:size val="7"/>
            <c:spPr>
              <a:solidFill>
                <a:schemeClr val="tx1"/>
              </a:solidFill>
              <a:ln w="6350" cap="flat" cmpd="sng" algn="ctr">
                <a:solidFill>
                  <a:schemeClr val="tx1"/>
                </a:solidFill>
                <a:prstDash val="solid"/>
                <a:round/>
              </a:ln>
              <a:effectLst/>
            </c:spPr>
          </c:marker>
          <c:dPt>
            <c:idx val="0"/>
            <c:invertIfNegative val="0"/>
            <c:marker>
              <c:symbol val="circle"/>
              <c:size val="7"/>
              <c:spPr>
                <a:solidFill>
                  <a:schemeClr val="tx1"/>
                </a:solidFill>
                <a:ln w="6350" cap="flat" cmpd="sng" algn="ctr">
                  <a:solidFill>
                    <a:schemeClr val="tx1"/>
                  </a:solidFill>
                  <a:prstDash val="solid"/>
                  <a:round/>
                </a:ln>
                <a:effectLst/>
              </c:spPr>
            </c:marker>
            <c:bubble3D val="0"/>
            <c:spPr>
              <a:noFill/>
              <a:ln w="12700" cap="rnd" cmpd="sng" algn="ctr">
                <a:solidFill>
                  <a:schemeClr val="tx1"/>
                </a:solidFill>
                <a:prstDash val="solid"/>
                <a:round/>
              </a:ln>
              <a:effectLst/>
            </c:spPr>
          </c:dPt>
          <c:dPt>
            <c:idx val="1"/>
            <c:invertIfNegative val="0"/>
            <c:marker>
              <c:symbol val="circle"/>
              <c:size val="7"/>
              <c:spPr>
                <a:solidFill>
                  <a:schemeClr val="tx1"/>
                </a:solidFill>
                <a:ln w="6350" cap="flat" cmpd="sng" algn="ctr">
                  <a:solidFill>
                    <a:schemeClr val="tx1"/>
                  </a:solidFill>
                  <a:prstDash val="solid"/>
                  <a:round/>
                </a:ln>
                <a:effectLst/>
              </c:spPr>
            </c:marker>
            <c:bubble3D val="0"/>
            <c:spPr>
              <a:noFill/>
              <a:ln w="12700" cap="rnd" cmpd="sng" algn="ctr">
                <a:solidFill>
                  <a:schemeClr val="tx1"/>
                </a:solidFill>
                <a:prstDash val="solid"/>
                <a:round/>
              </a:ln>
              <a:effectLst/>
            </c:spPr>
          </c:dPt>
          <c:dPt>
            <c:idx val="2"/>
            <c:invertIfNegative val="0"/>
            <c:marker>
              <c:symbol val="circle"/>
              <c:size val="7"/>
              <c:spPr>
                <a:solidFill>
                  <a:schemeClr val="tx1"/>
                </a:solidFill>
                <a:ln w="6350" cap="flat" cmpd="sng" algn="ctr">
                  <a:solidFill>
                    <a:schemeClr val="tx1"/>
                  </a:solidFill>
                  <a:prstDash val="solid"/>
                  <a:round/>
                </a:ln>
                <a:effectLst/>
              </c:spPr>
            </c:marker>
            <c:bubble3D val="0"/>
            <c:spPr>
              <a:noFill/>
              <a:ln w="12700" cap="rnd" cmpd="sng" algn="ctr">
                <a:solidFill>
                  <a:schemeClr val="tx1"/>
                </a:solidFill>
                <a:prstDash val="solid"/>
                <a:round/>
              </a:ln>
              <a:effectLst/>
            </c:spPr>
          </c:dPt>
          <c:dPt>
            <c:idx val="4"/>
            <c:invertIfNegative val="0"/>
            <c:marker>
              <c:symbol val="circle"/>
              <c:size val="7"/>
              <c:spPr>
                <a:solidFill>
                  <a:schemeClr val="tx1"/>
                </a:solidFill>
                <a:ln w="6350" cap="flat" cmpd="sng" algn="ctr">
                  <a:solidFill>
                    <a:schemeClr val="tx1"/>
                  </a:solidFill>
                  <a:prstDash val="solid"/>
                  <a:round/>
                </a:ln>
                <a:effectLst/>
              </c:spPr>
            </c:marker>
            <c:bubble3D val="0"/>
            <c:spPr>
              <a:noFill/>
              <a:ln w="12700" cap="rnd" cmpd="sng" algn="ctr">
                <a:solidFill>
                  <a:schemeClr val="tx1"/>
                </a:solidFill>
                <a:prstDash val="solid"/>
                <a:round/>
              </a:ln>
              <a:effectLst/>
            </c:spPr>
          </c:dPt>
          <c:dLbls>
            <c:dLbl>
              <c:idx val="0"/>
              <c:layout>
                <c:manualLayout>
                  <c:x val="-4.8854563036079823e-002"/>
                  <c:y val="-5.574567244296421e-002"/>
                </c:manualLayout>
              </c:layout>
              <c:spPr>
                <a:noFill/>
                <a:ln>
                  <a:noFill/>
                </a:ln>
                <a:effectLst/>
              </c:spPr>
              <c:txPr>
                <a:bodyPr rot="0" spcFirstLastPara="1" vertOverflow="ellipsis" horzOverflow="overflow" wrap="square" lIns="0" tIns="0" rIns="0" bIns="0" anchor="ctr" anchorCtr="1">
                  <a:spAutoFit/>
                </a:bodyPr>
                <a:lstStyle/>
                <a:p>
                  <a:pPr algn="ctr" rtl="0">
                    <a:defRPr lang="ja-JP" altLang="en-US" sz="900" b="0" i="0" u="none" strike="noStrike" kern="1200" baseline="0">
                      <a:solidFill>
                        <a:srgbClr val="000000"/>
                      </a:solidFill>
                      <a:latin typeface="ＭＳ ゴシック"/>
                      <a:ea typeface="ＭＳ ゴシック"/>
                      <a:cs typeface="ＭＳ Ｐゴシック"/>
                    </a:defRPr>
                  </a:pPr>
                  <a:endParaRPr lang="ja-JP" altLang="en-US"/>
                </a:p>
              </c:txPr>
              <c:showLegendKey val="0"/>
              <c:showVal val="1"/>
              <c:showCatName val="0"/>
              <c:showSerName val="0"/>
              <c:showPercent val="0"/>
              <c:showBubbleSize val="0"/>
              <c:extLst>
                <c:ext xmlns:c15="http://schemas.microsoft.com/office/drawing/2012/chart" uri="{CE6537A1-D6FC-4f65-9D91-7224C49458BB}">
                  <c15:spPr>
                    <a:prstGeom prst="rect">
                      <a:avLst/>
                    </a:prstGeom>
                    <a:noFill/>
                    <a:ln>
                      <a:noFill/>
                    </a:ln>
                    <a:effectLst/>
                  </c15:spPr>
                </c:ext>
              </c:extLst>
            </c:dLbl>
            <c:dLbl>
              <c:idx val="1"/>
              <c:layout>
                <c:manualLayout>
                  <c:x val="-4.8854563036079823e-002"/>
                  <c:y val="-7.3523441925486446e-002"/>
                </c:manualLayout>
              </c:layout>
              <c:spPr>
                <a:noFill/>
                <a:ln>
                  <a:noFill/>
                </a:ln>
                <a:effectLst/>
              </c:spPr>
              <c:txPr>
                <a:bodyPr rot="0" spcFirstLastPara="1" vertOverflow="ellipsis" horzOverflow="overflow" wrap="square" lIns="0" tIns="0" rIns="0" bIns="0" anchor="ctr" anchorCtr="1">
                  <a:spAutoFit/>
                </a:bodyPr>
                <a:lstStyle/>
                <a:p>
                  <a:pPr algn="ctr" rtl="0">
                    <a:defRPr lang="ja-JP" altLang="en-US" sz="900" b="0" i="0" u="none" strike="noStrike" kern="1200" baseline="0">
                      <a:solidFill>
                        <a:srgbClr val="000000"/>
                      </a:solidFill>
                      <a:latin typeface="ＭＳ ゴシック"/>
                      <a:ea typeface="ＭＳ ゴシック"/>
                      <a:cs typeface="ＭＳ Ｐゴシック"/>
                    </a:defRPr>
                  </a:pPr>
                  <a:endParaRPr lang="ja-JP" altLang="en-US"/>
                </a:p>
              </c:txPr>
              <c:showLegendKey val="0"/>
              <c:showVal val="1"/>
              <c:showCatName val="0"/>
              <c:showSerName val="0"/>
              <c:showPercent val="0"/>
              <c:showBubbleSize val="0"/>
              <c:extLst>
                <c:ext xmlns:c15="http://schemas.microsoft.com/office/drawing/2012/chart" uri="{CE6537A1-D6FC-4f65-9D91-7224C49458BB}">
                  <c15:spPr>
                    <a:prstGeom prst="rect">
                      <a:avLst/>
                    </a:prstGeom>
                    <a:noFill/>
                    <a:ln>
                      <a:noFill/>
                    </a:ln>
                    <a:effectLst/>
                  </c15:spPr>
                </c:ext>
              </c:extLst>
            </c:dLbl>
            <c:dLbl>
              <c:idx val="2"/>
              <c:layout>
                <c:manualLayout>
                  <c:x val="-4.5664770372603004e-002"/>
                  <c:y val="-5.5745672442964155e-002"/>
                </c:manualLayout>
              </c:layout>
              <c:spPr>
                <a:noFill/>
                <a:ln>
                  <a:noFill/>
                </a:ln>
                <a:effectLst/>
              </c:spPr>
              <c:txPr>
                <a:bodyPr rot="0" spcFirstLastPara="1" vertOverflow="ellipsis" horzOverflow="overflow" wrap="square" lIns="0" tIns="0" rIns="0" bIns="0" anchor="ctr" anchorCtr="1">
                  <a:spAutoFit/>
                </a:bodyPr>
                <a:lstStyle/>
                <a:p>
                  <a:pPr algn="ctr" rtl="0">
                    <a:defRPr lang="ja-JP" altLang="en-US" sz="900" b="0" i="0" u="none" strike="noStrike" kern="1200" baseline="0">
                      <a:solidFill>
                        <a:srgbClr val="000000"/>
                      </a:solidFill>
                      <a:latin typeface="ＭＳ ゴシック"/>
                      <a:ea typeface="ＭＳ ゴシック"/>
                      <a:cs typeface="ＭＳ Ｐゴシック"/>
                    </a:defRPr>
                  </a:pPr>
                  <a:endParaRPr lang="ja-JP" altLang="en-US"/>
                </a:p>
              </c:txPr>
              <c:showLegendKey val="0"/>
              <c:showVal val="1"/>
              <c:showCatName val="0"/>
              <c:showSerName val="0"/>
              <c:showPercent val="0"/>
              <c:showBubbleSize val="0"/>
              <c:extLst>
                <c:ext xmlns:c15="http://schemas.microsoft.com/office/drawing/2012/chart" uri="{CE6537A1-D6FC-4f65-9D91-7224C49458BB}">
                  <c15:spPr>
                    <a:prstGeom prst="rect">
                      <a:avLst/>
                    </a:prstGeom>
                    <a:noFill/>
                    <a:ln>
                      <a:noFill/>
                    </a:ln>
                    <a:effectLst/>
                  </c15:spPr>
                </c:ext>
              </c:extLst>
            </c:dLbl>
            <c:dLbl>
              <c:idx val="4"/>
              <c:layout>
                <c:manualLayout>
                  <c:x val="-4.8854563036079823e-002"/>
                  <c:y val="-6.1671595603804912e-002"/>
                </c:manualLayout>
              </c:layout>
              <c:spPr>
                <a:noFill/>
                <a:ln>
                  <a:noFill/>
                </a:ln>
                <a:effectLst/>
              </c:spPr>
              <c:txPr>
                <a:bodyPr rot="0" spcFirstLastPara="1" vertOverflow="ellipsis" horzOverflow="overflow" wrap="square" lIns="0" tIns="0" rIns="0" bIns="0" anchor="ctr" anchorCtr="1">
                  <a:spAutoFit/>
                </a:bodyPr>
                <a:lstStyle/>
                <a:p>
                  <a:pPr algn="ctr" rtl="0">
                    <a:defRPr lang="ja-JP" altLang="en-US" sz="900" b="0" i="0" u="none" strike="noStrike" kern="1200" baseline="0">
                      <a:solidFill>
                        <a:srgbClr val="000000"/>
                      </a:solidFill>
                      <a:latin typeface="ＭＳ ゴシック"/>
                      <a:ea typeface="ＭＳ ゴシック"/>
                      <a:cs typeface="ＭＳ Ｐゴシック"/>
                    </a:defRPr>
                  </a:pPr>
                  <a:endParaRPr lang="ja-JP" altLang="en-US"/>
                </a:p>
              </c:txPr>
              <c:showLegendKey val="0"/>
              <c:showVal val="1"/>
              <c:showCatName val="0"/>
              <c:showSerName val="0"/>
              <c:showPercent val="0"/>
              <c:showBubbleSize val="0"/>
              <c:extLst>
                <c:ext xmlns:c15="http://schemas.microsoft.com/office/drawing/2012/chart" uri="{CE6537A1-D6FC-4f65-9D91-7224C49458BB}">
                  <c15:spPr>
                    <a:prstGeom prst="rect">
                      <a:avLst/>
                    </a:prstGeom>
                    <a:noFill/>
                    <a:ln>
                      <a:noFill/>
                    </a:ln>
                    <a:effectLst/>
                  </c15:spPr>
                </c:ext>
              </c:extLst>
            </c:dLbl>
            <c:spPr>
              <a:noFill/>
              <a:ln>
                <a:noFill/>
              </a:ln>
              <a:effectLst/>
            </c:spPr>
            <c:txPr>
              <a:bodyPr rot="0" spcFirstLastPara="1" vertOverflow="ellipsis" horzOverflow="overflow" wrap="square" lIns="0" tIns="0" rIns="0" bIns="0" anchor="ctr" anchorCtr="1">
                <a:spAutoFit/>
              </a:bodyPr>
              <a:lstStyle/>
              <a:p>
                <a:pPr algn="ctr" rtl="0">
                  <a:defRPr lang="ja-JP" altLang="en-US" sz="900" b="0" i="0" u="none" strike="noStrike" kern="1200" baseline="0">
                    <a:solidFill>
                      <a:srgbClr val="000000"/>
                    </a:solidFill>
                    <a:latin typeface="ＭＳ ゴシック"/>
                    <a:ea typeface="ＭＳ ゴシック"/>
                    <a:cs typeface="ＭＳ Ｐゴシック"/>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pPr>
                  <a:prstGeom prst="rect">
                    <a:avLst/>
                  </a:prstGeom>
                  <a:noFill/>
                  <a:ln>
                    <a:noFill/>
                  </a:ln>
                  <a:effectLst/>
                </c15:spPr>
                <c15:showLeaderLines val="1"/>
                <c15:leaderLines>
                  <c:spPr>
                    <a:noFill/>
                    <a:ln w="9525" cap="flat" cmpd="sng" algn="ctr">
                      <a:solidFill>
                        <a:schemeClr val="tx1">
                          <a:shade val="95000"/>
                          <a:satMod val="105000"/>
                        </a:schemeClr>
                      </a:solidFill>
                      <a:prstDash val="solid"/>
                      <a:round/>
                    </a:ln>
                    <a:effectLst/>
                  </c:spPr>
                </c15:leaderLines>
              </c:ext>
            </c:extLst>
          </c:dLbls>
          <c:cat>
            <c:strRef>
              <c:f>'[0]農・工・商業'!$I$64:$I$68</c:f>
              <c:strCache>
                <c:ptCount val="5"/>
                <c:pt idx="0">
                  <c:v>H16</c:v>
                </c:pt>
                <c:pt idx="1">
                  <c:v>H19</c:v>
                </c:pt>
                <c:pt idx="2">
                  <c:v>H24</c:v>
                </c:pt>
                <c:pt idx="3">
                  <c:v>H26</c:v>
                </c:pt>
                <c:pt idx="4">
                  <c:v>H28</c:v>
                </c:pt>
              </c:strCache>
            </c:strRef>
          </c:cat>
          <c:val>
            <c:numRef>
              <c:f>'[津山市_調査_統計データ.xlsx]農・工・商業'!$L$64:$L$68</c:f>
              <c:numCache>
                <c:formatCode>#,##0;[Red]\-#,##0</c:formatCode>
                <c:ptCount val="5"/>
                <c:pt idx="0">
                  <c:v>183.922</c:v>
                </c:pt>
                <c:pt idx="1">
                  <c:v>205.232</c:v>
                </c:pt>
                <c:pt idx="2">
                  <c:v>174.41900000000001</c:v>
                </c:pt>
                <c:pt idx="3">
                  <c:v>169.23</c:v>
                </c:pt>
                <c:pt idx="4">
                  <c:v>178.227</c:v>
                </c:pt>
              </c:numCache>
            </c:numRef>
          </c:val>
          <c:smooth val="0"/>
        </c:ser>
        <c:dLbls>
          <c:txPr>
            <a:bodyPr rot="0" spcFirstLastPara="1" vertOverflow="ellipsis" horzOverflow="overflow" wrap="square" anchor="ctr" anchorCtr="1">
              <a:spAutoFit/>
            </a:bodyPr>
            <a:lstStyle/>
            <a:p>
              <a:pPr algn="ctr" rtl="0">
                <a:defRPr lang="ja-JP" altLang="en-US" sz="1100" b="0" i="0" u="none" strike="noStrike" baseline="0">
                  <a:solidFill>
                    <a:srgbClr val="000000"/>
                  </a:solidFill>
                  <a:latin typeface="ＭＳ Ｐゴシック"/>
                  <a:ea typeface="ＭＳ Ｐゴシック"/>
                  <a:cs typeface="ＭＳ Ｐゴシック"/>
                </a:defRPr>
              </a:pPr>
              <a:endParaRPr lang="ja-JP" altLang="en-US"/>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0;[Red]\-#,##0" sourceLinked="1"/>
        <c:majorTickMark val="in"/>
        <c:minorTickMark val="none"/>
        <c:tickLblPos val="nextTo"/>
        <c:spPr>
          <a:noFill/>
          <a:ln w="3175" cap="flat" cmpd="sng" algn="ctr">
            <a:solidFill>
              <a:schemeClr val="tx1">
                <a:lumMod val="75000"/>
                <a:lumOff val="25000"/>
              </a:schemeClr>
            </a:solidFill>
            <a:prstDash val="solid"/>
            <a:round/>
          </a:ln>
          <a:effectLst/>
        </c:spPr>
        <c:txPr>
          <a:bodyPr rot="0" spcFirstLastPara="1" vertOverflow="ellipsis" horzOverflow="overflow" wrap="square" anchor="ctr" anchorCtr="1"/>
          <a:lstStyle/>
          <a:p>
            <a:pPr algn="ctr" rtl="0">
              <a:defRPr lang="ja-JP" altLang="en-US" sz="1000" b="0" i="0" u="none" strike="noStrike" kern="1200" baseline="0">
                <a:solidFill>
                  <a:sysClr val="windowText" lastClr="000000"/>
                </a:solidFill>
                <a:latin typeface="ＭＳ ゴシック"/>
                <a:ea typeface="ＭＳ ゴシック"/>
                <a:cs typeface="ＭＳ ゴシック"/>
              </a:defRPr>
            </a:pPr>
            <a:endParaRPr lang="ja-JP" altLang="en-US"/>
          </a:p>
        </c:txPr>
        <c:crossAx val="2"/>
        <c:crosses val="autoZero"/>
        <c:auto val="0"/>
        <c:lblAlgn val="ctr"/>
        <c:lblOffset val="100"/>
        <c:tickLblSkip val="1"/>
        <c:noMultiLvlLbl val="0"/>
      </c:catAx>
      <c:valAx>
        <c:axId val="2"/>
        <c:scaling>
          <c:orientation val="minMax"/>
          <c:max val="300"/>
          <c:min val="0"/>
        </c:scaling>
        <c:delete val="0"/>
        <c:axPos val="l"/>
        <c:title>
          <c:tx>
            <c:rich>
              <a:bodyPr rot="-5400000" spcFirstLastPara="1" vertOverflow="ellipsis" horzOverflow="overflow" vert="wordArtVertRtl" wrap="square" anchor="ctr" anchorCtr="1"/>
              <a:lstStyle/>
              <a:p>
                <a:pPr algn="ctr" rtl="0">
                  <a:defRPr lang="ja-JP" altLang="en-US" sz="1000" b="0" i="0" u="none" strike="noStrike" kern="1200" baseline="0">
                    <a:solidFill>
                      <a:sysClr val="windowText" lastClr="000000"/>
                    </a:solidFill>
                    <a:latin typeface="ＭＳ ゴシック"/>
                    <a:ea typeface="ＭＳ ゴシック"/>
                    <a:cs typeface="ＭＳ ゴシック"/>
                  </a:defRPr>
                </a:pPr>
                <a:r>
                  <a:rPr lang="ja-JP" altLang="en-US" sz="1000" b="0" i="0" u="none" strike="noStrike" kern="1200" baseline="0">
                    <a:solidFill>
                      <a:sysClr val="windowText" lastClr="000000"/>
                    </a:solidFill>
                    <a:latin typeface="ＭＳ ゴシック"/>
                    <a:ea typeface="ＭＳ ゴシック"/>
                    <a:cs typeface="ＭＳ ゴシック"/>
                  </a:rPr>
                  <a:t>商店数・従業者数</a:t>
                </a:r>
                <a:endParaRPr lang="ja-JP" altLang="en-US" sz="1000" b="0" i="0" u="none" strike="noStrike" kern="1200" baseline="0">
                  <a:solidFill>
                    <a:sysClr val="windowText" lastClr="000000"/>
                  </a:solidFill>
                  <a:latin typeface="ＭＳ ゴシック"/>
                  <a:ea typeface="ＭＳ ゴシック"/>
                  <a:cs typeface="ＭＳ ゴシック"/>
                </a:endParaRPr>
              </a:p>
            </c:rich>
          </c:tx>
          <c:layout>
            <c:manualLayout>
              <c:xMode val="edge"/>
              <c:yMode val="edge"/>
              <c:x val="0.93718584021798879"/>
              <c:y val="0.11403516845607625"/>
            </c:manualLayout>
          </c:layout>
          <c:overlay val="0"/>
          <c:spPr>
            <a:noFill/>
            <a:ln w="25400">
              <a:noFill/>
            </a:ln>
            <a:effectLst/>
          </c:spPr>
        </c:title>
        <c:numFmt formatCode="#,##0;[Red]\-#,##0" sourceLinked="1"/>
        <c:majorTickMark val="in"/>
        <c:minorTickMark val="none"/>
        <c:tickLblPos val="nextTo"/>
        <c:spPr>
          <a:noFill/>
          <a:ln w="3175" cap="flat" cmpd="sng" algn="ctr">
            <a:solidFill>
              <a:schemeClr val="tx1">
                <a:lumMod val="75000"/>
                <a:lumOff val="25000"/>
              </a:schemeClr>
            </a:solidFill>
            <a:prstDash val="solid"/>
            <a:round/>
          </a:ln>
          <a:effectLst/>
        </c:spPr>
        <c:txPr>
          <a:bodyPr rot="0" spcFirstLastPara="1" vertOverflow="ellipsis" horzOverflow="overflow" wrap="square" anchor="ctr" anchorCtr="1"/>
          <a:lstStyle/>
          <a:p>
            <a:pPr algn="ctr" rtl="0">
              <a:defRPr lang="ja-JP" altLang="en-US" sz="1000" b="0" i="0" u="none" strike="noStrike" kern="1200" baseline="0">
                <a:solidFill>
                  <a:sysClr val="windowText" lastClr="000000"/>
                </a:solidFill>
                <a:latin typeface="ＭＳ ゴシック"/>
                <a:ea typeface="ＭＳ ゴシック"/>
                <a:cs typeface="ＭＳ ゴシック"/>
              </a:defRPr>
            </a:pPr>
            <a:endParaRPr lang="ja-JP" altLang="en-US"/>
          </a:p>
        </c:txPr>
        <c:crossAx val="1"/>
        <c:crosses val="autoZero"/>
        <c:crossBetween val="between"/>
        <c:majorUnit val="100"/>
      </c:valAx>
      <c:catAx>
        <c:axId val="11"/>
        <c:scaling>
          <c:orientation val="minMax"/>
        </c:scaling>
        <c:delete val="1"/>
        <c:axPos val="b"/>
        <c:numFmt formatCode="#,##0;[Red]\-#,##0" sourceLinked="1"/>
        <c:majorTickMark val="out"/>
        <c:minorTickMark val="none"/>
        <c:tickLblPos val="nextTo"/>
        <c:txPr>
          <a:bodyPr rot="-60000000" spcFirstLastPara="1" vertOverflow="ellipsis" horzOverflow="overflow" wrap="square" anchor="ctr" anchorCtr="1"/>
          <a:lstStyle/>
          <a:p>
            <a:pPr algn="ctr" rtl="0">
              <a:defRPr lang="ja-JP" altLang="en-US" sz="1100" b="0" i="0" u="none" strike="noStrike" baseline="0">
                <a:solidFill>
                  <a:srgbClr val="000000"/>
                </a:solidFill>
                <a:latin typeface="ＭＳ Ｐゴシック"/>
                <a:ea typeface="ＭＳ Ｐゴシック"/>
                <a:cs typeface="ＭＳ Ｐゴシック"/>
              </a:defRPr>
            </a:pPr>
            <a:endParaRPr lang="ja-JP" altLang="en-US"/>
          </a:p>
        </c:txPr>
        <c:crossAx val="12"/>
        <c:crosses val="autoZero"/>
        <c:auto val="0"/>
        <c:lblAlgn val="ctr"/>
        <c:lblOffset val="100"/>
        <c:noMultiLvlLbl val="0"/>
      </c:catAx>
      <c:valAx>
        <c:axId val="12"/>
        <c:scaling>
          <c:orientation val="minMax"/>
          <c:max val="9000"/>
          <c:min val="0"/>
        </c:scaling>
        <c:delete val="0"/>
        <c:axPos val="r"/>
        <c:title>
          <c:tx>
            <c:rich>
              <a:bodyPr rot="-5400000" spcFirstLastPara="1" vertOverflow="ellipsis" horzOverflow="overflow" vert="wordArtVertRtl" wrap="square" anchor="ctr" anchorCtr="1"/>
              <a:lstStyle/>
              <a:p>
                <a:pPr algn="ctr" rtl="0">
                  <a:defRPr lang="ja-JP" altLang="en-US" sz="1000" b="0" i="0" u="none" strike="noStrike" kern="1200" baseline="0">
                    <a:solidFill>
                      <a:sysClr val="windowText" lastClr="000000"/>
                    </a:solidFill>
                    <a:latin typeface="ＭＳ ゴシック"/>
                    <a:ea typeface="ＭＳ ゴシック"/>
                    <a:cs typeface="ＭＳ ゴシック"/>
                  </a:defRPr>
                </a:pPr>
                <a:r>
                  <a:rPr lang="ja-JP" altLang="en-US" sz="1000" b="0" i="0" u="none" strike="noStrike" kern="1200" baseline="0">
                    <a:solidFill>
                      <a:sysClr val="windowText" lastClr="000000"/>
                    </a:solidFill>
                    <a:latin typeface="ＭＳ ゴシック"/>
                    <a:ea typeface="ＭＳ ゴシック"/>
                    <a:cs typeface="ＭＳ ゴシック"/>
                  </a:rPr>
                  <a:t>売場面積（千㎡）</a:t>
                </a:r>
                <a:endParaRPr lang="ja-JP" altLang="en-US" sz="1000" b="0" i="0" u="none" strike="noStrike" kern="1200" baseline="0">
                  <a:solidFill>
                    <a:sysClr val="windowText" lastClr="000000"/>
                  </a:solidFill>
                  <a:latin typeface="ＭＳ ゴシック"/>
                  <a:ea typeface="ＭＳ ゴシック"/>
                  <a:cs typeface="ＭＳ ゴシック"/>
                </a:endParaRPr>
              </a:p>
            </c:rich>
          </c:tx>
          <c:layout>
            <c:manualLayout>
              <c:xMode val="edge"/>
              <c:yMode val="edge"/>
              <c:x val="2.8833424952970782e-002"/>
              <c:y val="0.13623749982742514"/>
            </c:manualLayout>
          </c:layout>
          <c:overlay val="0"/>
          <c:spPr>
            <a:noFill/>
            <a:ln w="25400">
              <a:noFill/>
            </a:ln>
            <a:effectLst/>
          </c:spPr>
        </c:title>
        <c:numFmt formatCode="#,##0;[Red]\-#,##0" sourceLinked="1"/>
        <c:majorTickMark val="in"/>
        <c:minorTickMark val="none"/>
        <c:tickLblPos val="nextTo"/>
        <c:spPr>
          <a:noFill/>
          <a:ln w="3175" cap="flat" cmpd="sng" algn="ctr">
            <a:solidFill>
              <a:schemeClr val="tx1">
                <a:lumMod val="75000"/>
                <a:lumOff val="25000"/>
              </a:schemeClr>
            </a:solidFill>
            <a:prstDash val="solid"/>
            <a:round/>
          </a:ln>
          <a:effectLst/>
        </c:spPr>
        <c:txPr>
          <a:bodyPr rot="0" spcFirstLastPara="1" vertOverflow="ellipsis" horzOverflow="overflow" wrap="square" anchor="ctr" anchorCtr="1"/>
          <a:lstStyle/>
          <a:p>
            <a:pPr algn="ctr" rtl="0">
              <a:defRPr lang="ja-JP" altLang="en-US" sz="1000" b="0" i="0" u="none" strike="noStrike" kern="1200" baseline="0">
                <a:solidFill>
                  <a:sysClr val="windowText" lastClr="000000"/>
                </a:solidFill>
                <a:latin typeface="ＭＳ ゴシック"/>
                <a:ea typeface="ＭＳ ゴシック"/>
                <a:cs typeface="ＭＳ ゴシック"/>
              </a:defRPr>
            </a:pPr>
            <a:endParaRPr lang="ja-JP" altLang="en-US"/>
          </a:p>
        </c:txPr>
        <c:crossAx val="11"/>
        <c:crosses val="max"/>
        <c:crossBetween val="between"/>
        <c:majorUnit val="3000"/>
      </c:valAx>
      <c:spPr>
        <a:noFill/>
        <a:ln w="6350">
          <a:solidFill>
            <a:schemeClr val="tx1">
              <a:lumMod val="75000"/>
              <a:lumOff val="25000"/>
            </a:schemeClr>
          </a:solidFill>
          <a:prstDash val="solid"/>
        </a:ln>
        <a:effectLst/>
      </c:spPr>
    </c:plotArea>
    <c:legend>
      <c:legendPos val="b"/>
      <c:layout>
        <c:manualLayout>
          <c:xMode val="edge"/>
          <c:yMode val="edge"/>
          <c:x val="8.7939698492462318e-002"/>
          <c:y val="0.88157894736842091"/>
          <c:w val="0.83668341708542704"/>
          <c:h val="9.2105263157894732e-002"/>
        </c:manualLayout>
      </c:layout>
      <c:overlay val="0"/>
      <c:spPr>
        <a:solidFill>
          <a:schemeClr val="bg1"/>
        </a:solidFill>
        <a:ln w="3175">
          <a:solidFill>
            <a:schemeClr val="tx1">
              <a:lumMod val="75000"/>
              <a:lumOff val="25000"/>
            </a:schemeClr>
          </a:solidFill>
          <a:prstDash val="solid"/>
        </a:ln>
        <a:effectLst/>
      </c:spPr>
      <c:txPr>
        <a:bodyPr rot="0" spcFirstLastPara="1" vertOverflow="ellipsis" horzOverflow="overflow" wrap="square" anchor="ctr" anchorCtr="1"/>
        <a:lstStyle/>
        <a:p>
          <a:pPr algn="l" rtl="0">
            <a:defRPr lang="ja-JP" altLang="en-US" sz="1000" b="0" i="0" u="none" strike="noStrike" kern="1200" baseline="0">
              <a:solidFill>
                <a:sysClr val="windowText" lastClr="000000"/>
              </a:solidFill>
              <a:latin typeface="ＭＳ ゴシック"/>
              <a:ea typeface="ＭＳ ゴシック"/>
              <a:cs typeface="ＭＳ ゴシック"/>
            </a:defRPr>
          </a:pPr>
          <a:endParaRPr lang="ja-JP" altLang="en-US"/>
        </a:p>
      </c:txPr>
    </c:legend>
    <c:plotVisOnly val="1"/>
    <c:dispBlanksAs val="gap"/>
    <c:showDLblsOverMax val="0"/>
  </c:chart>
  <c:spPr>
    <a:noFill/>
    <a:ln w="9525" cap="flat" cmpd="sng" algn="ctr">
      <a:noFill/>
      <a:prstDash val="solid"/>
      <a:round/>
    </a:ln>
    <a:effectLst/>
  </c:spPr>
  <c:txPr>
    <a:bodyPr vertOverflow="overflow" horzOverflow="overflow" anchor="ctr" anchorCtr="1"/>
    <a:lstStyle/>
    <a:p>
      <a:pPr algn="ctr" rtl="0">
        <a:defRPr lang="ja-JP" altLang="en-US" sz="1100" b="0" i="0" u="none" strike="noStrike" baseline="0">
          <a:solidFill>
            <a:srgbClr val="000000"/>
          </a:solidFill>
          <a:latin typeface="ＭＳ Ｐゴシック"/>
          <a:ea typeface="ＭＳ Ｐゴシック"/>
          <a:cs typeface="ＭＳ Ｐゴシック"/>
        </a:defRPr>
      </a:pPr>
      <a:endParaRPr lang="ja-JP" altLang="en-US"/>
    </a:p>
  </c:txPr>
  <c:externalData r:id="rId1">
    <c:autoUpdate val="0"/>
  </c:externalData>
  <c:extLst>
    <c:ext xmlns:c14="http://schemas.microsoft.com/office/drawing/2007/8/2/chart" uri="{781A3756-C4B2-4CAC-9D66-4F8BD8637D16}"/>
  </c:extLst>
</c:chartSpace>
</file>

<file path=word/charts/chart3.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890361830495"/>
          <c:y val="6.6011208058452148e-002"/>
          <c:w val="0.71403758239074766"/>
          <c:h val="0.8732489182095482"/>
        </c:manualLayout>
      </c:layout>
      <c:pieChart>
        <c:varyColors val="1"/>
        <c:ser>
          <c:idx val="0"/>
          <c:order val="0"/>
          <c:tx>
            <c:strRef>
              <c:f>[津山市_調査_統計データ.xlsx]土地利用!$D$27</c:f>
              <c:strCache>
                <c:ptCount val="1"/>
                <c:pt idx="0">
                  <c:v>割合（％）</c:v>
                </c:pt>
              </c:strCache>
            </c:strRef>
          </c:tx>
          <c:spPr>
            <a:ln w="3175">
              <a:solidFill>
                <a:schemeClr val="tx1"/>
              </a:solidFill>
            </a:ln>
          </c:spPr>
          <c:dPt>
            <c:idx val="0"/>
            <c:invertIfNegative val="0"/>
            <c:bubble3D val="0"/>
            <c:spPr>
              <a:solidFill>
                <a:schemeClr val="bg1"/>
              </a:solidFill>
              <a:ln w="3175">
                <a:solidFill>
                  <a:schemeClr val="tx1"/>
                </a:solidFill>
              </a:ln>
              <a:effectLst/>
            </c:spPr>
          </c:dPt>
          <c:dPt>
            <c:idx val="1"/>
            <c:invertIfNegative val="0"/>
            <c:bubble3D val="0"/>
            <c:spPr>
              <a:solidFill>
                <a:schemeClr val="bg1">
                  <a:lumMod val="75000"/>
                </a:schemeClr>
              </a:solidFill>
              <a:ln w="3175">
                <a:solidFill>
                  <a:schemeClr val="tx1"/>
                </a:solidFill>
              </a:ln>
              <a:effectLst/>
            </c:spPr>
          </c:dPt>
          <c:dPt>
            <c:idx val="2"/>
            <c:invertIfNegative val="0"/>
            <c:bubble3D val="0"/>
            <c:spPr>
              <a:solidFill>
                <a:schemeClr val="tx1">
                  <a:lumMod val="50000"/>
                  <a:lumOff val="50000"/>
                </a:schemeClr>
              </a:solidFill>
              <a:ln w="3175">
                <a:solidFill>
                  <a:schemeClr val="tx1"/>
                </a:solidFill>
              </a:ln>
              <a:effectLst/>
            </c:spPr>
          </c:dPt>
          <c:dPt>
            <c:idx val="3"/>
            <c:invertIfNegative val="0"/>
            <c:bubble3D val="0"/>
            <c:spPr>
              <a:solidFill>
                <a:schemeClr val="tx1">
                  <a:lumMod val="75000"/>
                  <a:lumOff val="25000"/>
                </a:schemeClr>
              </a:solidFill>
              <a:ln w="3175">
                <a:solidFill>
                  <a:schemeClr val="tx1"/>
                </a:solidFill>
              </a:ln>
              <a:effectLst/>
            </c:spPr>
          </c:dPt>
          <c:dLbls>
            <c:dLbl>
              <c:idx val="0"/>
              <c:layout>
                <c:manualLayout>
                  <c:x val="-0.17999075399665951"/>
                  <c:y val="-9.2189245575072437e-002"/>
                </c:manualLayout>
              </c:layout>
              <c:spPr>
                <a:noFill/>
                <a:ln>
                  <a:noFill/>
                </a:ln>
                <a:effectLst/>
              </c:spPr>
              <c:txPr>
                <a:bodyPr>
                  <a:spAutoFit/>
                </a:bodyPr>
                <a:lstStyle/>
                <a:p>
                  <a:pPr>
                    <a:defRPr sz="1000" b="0" i="0" u="none" strike="noStrike" kern="1200" baseline="0">
                      <a:solidFill>
                        <a:sysClr val="windowText" lastClr="000000"/>
                      </a:solidFill>
                      <a:latin typeface="ＭＳ ゴシック"/>
                      <a:ea typeface="ＭＳ ゴシック"/>
                      <a:cs typeface="+mn-cs"/>
                    </a:defRPr>
                  </a:pPr>
                  <a:endParaRPr lang="ja-JP" altLang="en-US"/>
                </a:p>
              </c:txPr>
              <c:showLegendKey val="0"/>
              <c:showVal val="1"/>
              <c:showCatName val="1"/>
              <c:showSerName val="0"/>
              <c:showPercent val="0"/>
              <c:showBubbleSize val="0"/>
              <c:separator xml:space="preserve"> </c:separator>
            </c:dLbl>
            <c:dLbl>
              <c:idx val="1"/>
              <c:layout>
                <c:manualLayout>
                  <c:x val="0.16380040563111428"/>
                  <c:y val="-0.1221001221001221"/>
                </c:manualLayout>
              </c:layout>
              <c:spPr>
                <a:noFill/>
                <a:ln>
                  <a:noFill/>
                </a:ln>
                <a:effectLst/>
              </c:spPr>
              <c:txPr>
                <a:bodyPr>
                  <a:spAutoFit/>
                </a:bodyPr>
                <a:lstStyle/>
                <a:p>
                  <a:pPr>
                    <a:defRPr sz="1000" b="0" i="0" u="none" strike="noStrike" kern="1200" baseline="0">
                      <a:solidFill>
                        <a:sysClr val="windowText" lastClr="000000"/>
                      </a:solidFill>
                      <a:latin typeface="ＭＳ ゴシック"/>
                      <a:ea typeface="ＭＳ ゴシック"/>
                      <a:cs typeface="+mn-cs"/>
                    </a:defRPr>
                  </a:pPr>
                  <a:endParaRPr lang="ja-JP" altLang="en-US"/>
                </a:p>
              </c:txPr>
              <c:showLegendKey val="0"/>
              <c:showVal val="1"/>
              <c:showCatName val="1"/>
              <c:showSerName val="0"/>
              <c:showPercent val="0"/>
              <c:showBubbleSize val="0"/>
              <c:separator xml:space="preserve"> </c:separator>
            </c:dLbl>
            <c:dLbl>
              <c:idx val="2"/>
              <c:layout>
                <c:manualLayout>
                  <c:x val="0.16452785731329039"/>
                  <c:y val="0.19696922500072103"/>
                </c:manualLayout>
              </c:layout>
              <c:spPr>
                <a:noFill/>
                <a:ln>
                  <a:noFill/>
                </a:ln>
                <a:effectLst/>
              </c:spPr>
              <c:txPr>
                <a:bodyPr wrap="square" lIns="38100" tIns="19050" rIns="38100" bIns="19050">
                  <a:spAutoFit/>
                </a:bodyPr>
                <a:lstStyle/>
                <a:p>
                  <a:pPr>
                    <a:defRPr sz="1000" b="0" i="0" u="none" strike="noStrike" kern="1200" baseline="0">
                      <a:solidFill>
                        <a:schemeClr val="bg1"/>
                      </a:solidFill>
                      <a:latin typeface="ＭＳ ゴシック"/>
                      <a:ea typeface="ＭＳ ゴシック"/>
                      <a:cs typeface="+mn-cs"/>
                    </a:defRPr>
                  </a:pPr>
                  <a:endParaRPr lang="ja-JP" altLang="en-US"/>
                </a:p>
              </c:txPr>
              <c:showLegendKey val="0"/>
              <c:showVal val="1"/>
              <c:showCatName val="1"/>
              <c:showSerName val="0"/>
              <c:showPercent val="0"/>
              <c:showBubbleSize val="0"/>
              <c:separator xml:space="preserve"> </c:separator>
            </c:dLbl>
            <c:dLbl>
              <c:idx val="3"/>
              <c:layout>
                <c:manualLayout>
                  <c:x val="0.17045454545454544"/>
                  <c:y val="0.2271062271062271"/>
                </c:manualLayout>
              </c:layout>
              <c:spPr>
                <a:noFill/>
                <a:ln>
                  <a:noFill/>
                </a:ln>
                <a:effectLst/>
              </c:spPr>
              <c:txPr>
                <a:bodyPr wrap="square" lIns="38100" tIns="19050" rIns="38100" bIns="19050">
                  <a:spAutoFit/>
                </a:bodyPr>
                <a:lstStyle/>
                <a:p>
                  <a:pPr>
                    <a:defRPr sz="1000" b="0" i="0" u="none" strike="noStrike" kern="1200" baseline="0">
                      <a:solidFill>
                        <a:schemeClr val="bg1"/>
                      </a:solidFill>
                      <a:latin typeface="ＭＳ ゴシック"/>
                      <a:ea typeface="ＭＳ ゴシック"/>
                      <a:cs typeface="+mn-cs"/>
                    </a:defRPr>
                  </a:pPr>
                  <a:endParaRPr lang="ja-JP" altLang="en-US"/>
                </a:p>
              </c:txPr>
              <c:showLegendKey val="0"/>
              <c:showVal val="1"/>
              <c:showCatName val="1"/>
              <c:showSerName val="0"/>
              <c:showPercent val="0"/>
              <c:showBubbleSize val="0"/>
              <c:separator xml:space="preserve"> </c:separator>
              <c:extLst>
                <c:ext xmlns:c15="http://schemas.microsoft.com/office/drawing/2012/chart" uri="{CE6537A1-D6FC-4f65-9D91-7224C49458BB}">
                  <c15:layout>
                    <c:manualLayout>
                      <c:w val="0.35795454545454547"/>
                      <c:h val="0.20512820512820512"/>
                    </c:manualLayout>
                  </c15:layout>
                </c:ext>
              </c:extLst>
            </c:dLbl>
            <c:spPr>
              <a:noFill/>
              <a:ln>
                <a:noFill/>
              </a:ln>
              <a:effectLst/>
            </c:spPr>
            <c:txPr>
              <a:bodyPr rot="0" horzOverflow="overflow" wrap="square" lIns="38100" tIns="19050" rIns="38100" bIns="19050" anchor="ctr" anchorCtr="1">
                <a:spAutoFit/>
              </a:bodyPr>
              <a:lstStyle/>
              <a:p>
                <a:pPr algn="ctr" rtl="0">
                  <a:defRPr sz="1000" b="0" i="0" u="none" strike="noStrike" kern="1200" baseline="0">
                    <a:solidFill>
                      <a:sysClr val="windowText" lastClr="000000"/>
                    </a:solidFill>
                    <a:latin typeface="ＭＳ ゴシック"/>
                    <a:ea typeface="ＭＳ ゴシック"/>
                    <a:cs typeface="+mn-cs"/>
                  </a:defRPr>
                </a:pPr>
                <a:endParaRPr lang="ja-JP" altLang="en-US"/>
              </a:p>
            </c:txPr>
            <c:showLegendKey val="0"/>
            <c:showVal val="1"/>
            <c:showCatName val="1"/>
            <c:showSerName val="0"/>
            <c:showPercent val="0"/>
            <c:showBubbleSize val="0"/>
            <c:separator xml:space="preserve"> </c:separator>
            <c:showLeaderLines val="1"/>
            <c:leaderLines>
              <c:spPr>
                <a:ln w="3175" cap="flat" cmpd="sng" algn="ctr">
                  <a:solidFill>
                    <a:schemeClr val="tx1"/>
                  </a:solidFill>
                  <a:prstDash val="solid"/>
                  <a:round/>
                </a:ln>
                <a:effectLst/>
              </c:spPr>
            </c:leaderLines>
          </c:dLbls>
          <c:cat>
            <c:strRef>
              <c:f>[津山市_調査_統計データ.xlsx]土地利用!$B$28:$B$30</c:f>
              <c:strCache>
                <c:ptCount val="3"/>
                <c:pt idx="0">
                  <c:v>住居系</c:v>
                </c:pt>
                <c:pt idx="1">
                  <c:v>商業系</c:v>
                </c:pt>
                <c:pt idx="2">
                  <c:v>工業系</c:v>
                </c:pt>
              </c:strCache>
            </c:strRef>
          </c:cat>
          <c:val>
            <c:numRef>
              <c:f>[津山市_調査_統計データ.xlsx]土地利用!$D$28:$D$30</c:f>
              <c:numCache>
                <c:formatCode>0.0%</c:formatCode>
                <c:ptCount val="3"/>
                <c:pt idx="0">
                  <c:v>0.60663681592039798</c:v>
                </c:pt>
                <c:pt idx="1">
                  <c:v>0.12149777428646244</c:v>
                </c:pt>
                <c:pt idx="2">
                  <c:v>0.27200000000000002</c:v>
                </c:pt>
              </c:numCache>
            </c:numRef>
          </c:val>
        </c:ser>
        <c:dLbls>
          <c:txPr>
            <a:bodyPr rot="0" horzOverflow="overflow" anchor="ctr" anchorCtr="1">
              <a:spAutoFit/>
            </a:bodyPr>
            <a:lstStyle/>
            <a:p>
              <a:pPr algn="ctr" rtl="0">
                <a:defRPr sz="1000">
                  <a:solidFill>
                    <a:schemeClr val="tx1"/>
                  </a:solidFill>
                </a:defRPr>
              </a:pPr>
              <a:endParaRPr lang="ja-JP" altLang="en-US"/>
            </a:p>
          </c:txPr>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noFill/>
    <a:ln w="9525" cap="flat" cmpd="sng" algn="ctr">
      <a:noFill/>
      <a:prstDash val="solid"/>
      <a:round/>
    </a:ln>
    <a:effectLst/>
  </c:spPr>
  <c:txPr>
    <a:bodyPr horzOverflow="overflow" anchor="ctr" anchorCtr="1"/>
    <a:lstStyle/>
    <a:p>
      <a:pPr algn="ctr" rtl="0">
        <a:defRPr lang="ja-JP" altLang="en-US" sz="1000">
          <a:solidFill>
            <a:schemeClr val="tx1"/>
          </a:solidFill>
        </a:defRPr>
      </a:pPr>
      <a:endParaRPr lang="ja-JP" altLang="en-US"/>
    </a:p>
  </c:txPr>
  <c:externalData r:id="rId1">
    <c:autoUpdate val="0"/>
  </c:externalData>
  <c:userShapes xmlns:c="http://schemas.openxmlformats.org/drawingml/2006/chart" xmlns:r="http://schemas.openxmlformats.org/officeDocument/2006/relationships" r:id="rId2"/>
  <c:extLst>
    <c:ext xmlns:c14="http://schemas.microsoft.com/office/drawing/2007/8/2/chart" uri="{781A3756-C4B2-4CAC-9D66-4F8BD8637D16}"/>
  </c:extLst>
</c:chartSpace>
</file>

<file path=word/charts/colors1.xml><?xml version="1.0" encoding="utf-8"?>
<cs:colorStyle xmlns:a="http://schemas.openxmlformats.org/drawingml/2006/main" xmlns:cs="http://schemas.microsoft.com/office/drawing/2012/chartStyle"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a="http://schemas.openxmlformats.org/drawingml/2006/main" xmlns:cs="http://schemas.microsoft.com/office/drawing/2012/chartStyle"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a="http://schemas.openxmlformats.org/drawingml/2006/main" xmlns:cs="http://schemas.microsoft.com/office/drawing/2012/chartStyle"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cs:styleClr val="0"/>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cs:styleClr val="0"/>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a="http://schemas.openxmlformats.org/drawingml/2006/main" xmlns:cs="http://schemas.microsoft.com/office/drawing/2012/chartStyle"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0.35499999999999998</cdr:x>
      <cdr:y>0.42849999999999999</cdr:y>
    </cdr:from>
    <cdr:to>
      <cdr:x>0.63624999999999998</cdr:x>
      <cdr:y>0.58225000000000005</cdr:y>
    </cdr:to>
    <cdr:sp macro="" textlink="">
      <cdr:nvSpPr>
        <cdr:cNvPr id="2" name="テキスト ボックス 1"/>
        <cdr:cNvSpPr txBox="1"/>
      </cdr:nvSpPr>
      <cdr:spPr>
        <a:xfrm xmlns:a="http://schemas.openxmlformats.org/drawingml/2006/main">
          <a:off x="1092860" y="1005128"/>
          <a:ext cx="865822" cy="360649"/>
        </a:xfrm>
        <a:prstGeom xmlns:a="http://schemas.openxmlformats.org/drawingml/2006/main" prst="rect">
          <a:avLst/>
        </a:prstGeom>
        <a:solidFill xmlns:a="http://schemas.openxmlformats.org/drawingml/2006/main">
          <a:schemeClr val="bg1"/>
        </a:solidFill>
        <a:ln xmlns:a="http://schemas.openxmlformats.org/drawingml/2006/main" w="6350">
          <a:solidFill>
            <a:schemeClr val="tx1"/>
          </a:solidFill>
        </a:ln>
      </cdr:spPr>
      <cdr:txBody>
        <a:bodyPr xmlns:a="http://schemas.openxmlformats.org/drawingml/2006/main" vertOverflow="clip" horzOverflow="overflow" wrap="square" lIns="0" tIns="0" rIns="0" bIns="0" rtlCol="0" anchor="ctr"/>
        <a:lstStyle xmlns:a="http://schemas.openxmlformats.org/drawingml/2006/main"/>
        <a:p xmlns:a="http://schemas.openxmlformats.org/drawingml/2006/main">
          <a:pPr algn="ctr"/>
          <a:r>
            <a:rPr lang="ja-JP" altLang="en-US" sz="1000">
              <a:latin typeface="+mn-ea"/>
              <a:ea typeface="+mn-ea"/>
            </a:rPr>
            <a:t>総面積</a:t>
          </a:r>
          <a:r>
            <a:rPr lang="en-US" altLang="ja-JP" sz="1000">
              <a:latin typeface="+mn-ea"/>
              <a:ea typeface="+mn-ea"/>
            </a:rPr>
            <a:t>1,910ha</a:t>
          </a:r>
          <a:endParaRPr lang="en-US" altLang="ja-JP" sz="1000" baseline="30000">
            <a:latin typeface="+mn-ea"/>
            <a:ea typeface="+mn-ea"/>
          </a:endParaRPr>
        </a:p>
        <a:p xmlns:a="http://schemas.openxmlformats.org/drawingml/2006/main">
          <a:pPr algn="ctr"/>
          <a:r>
            <a:rPr lang="ja-JP" altLang="en-US" sz="1000">
              <a:latin typeface="+mn-ea"/>
              <a:ea typeface="+mn-ea"/>
            </a:rPr>
            <a:t>（</a:t>
          </a:r>
          <a:r>
            <a:rPr lang="en-US" altLang="ja-JP" sz="1000">
              <a:latin typeface="+mn-ea"/>
              <a:ea typeface="+mn-ea"/>
            </a:rPr>
            <a:t>H29.4.11</a:t>
          </a:r>
          <a:r>
            <a:rPr lang="ja-JP" altLang="en-US" sz="1000">
              <a:latin typeface="+mn-ea"/>
              <a:ea typeface="+mn-ea"/>
            </a:rPr>
            <a:t>現在）</a:t>
          </a:r>
        </a:p>
      </cdr:txBody>
    </cdr:sp>
  </cdr:relSizeAnchor>
</c:userShapes>
</file>

<file path=word/drawings/drawing2.xml><?xml version="1.0" encoding="utf-8"?>
<c:userShapes xmlns:c="http://schemas.openxmlformats.org/drawingml/2006/chart">
  <cdr:relSizeAnchor xmlns:cdr="http://schemas.openxmlformats.org/drawingml/2006/chartDrawing">
    <cdr:from>
      <cdr:x>0.36625000000000002</cdr:x>
      <cdr:y>0.432</cdr:y>
    </cdr:from>
    <cdr:to>
      <cdr:x>0.67600000000000005</cdr:x>
      <cdr:y>0.58599999999999997</cdr:y>
    </cdr:to>
    <cdr:sp macro="" textlink="">
      <cdr:nvSpPr>
        <cdr:cNvPr id="20481" name="テキスト ボックス 1"/>
        <cdr:cNvSpPr txBox="1"/>
      </cdr:nvSpPr>
      <cdr:spPr>
        <a:xfrm xmlns:a="http://schemas.openxmlformats.org/drawingml/2006/main">
          <a:off x="1048419" y="983162"/>
          <a:ext cx="886684" cy="350479"/>
        </a:xfrm>
        <a:prstGeom xmlns:a="http://schemas.openxmlformats.org/drawingml/2006/main" prst="rect">
          <a:avLst/>
        </a:prstGeom>
        <a:solidFill xmlns:a="http://schemas.openxmlformats.org/drawingml/2006/main">
          <a:schemeClr val="bg1"/>
        </a:solidFill>
        <a:ln xmlns:a="http://schemas.openxmlformats.org/drawingml/2006/main" w="6350">
          <a:solidFill>
            <a:schemeClr val="tx1"/>
          </a:solidFill>
        </a:ln>
      </cdr:spPr>
      <cdr:txBody>
        <a:bodyPr xmlns:a="http://schemas.openxmlformats.org/drawingml/2006/main" vertOverflow="clip" horzOverflow="overflow" wrap="square" lIns="0" tIns="0" rIns="0" bIns="0" rtlCol="0" anchor="ctr"/>
        <a:lstStyle xmlns:a="http://schemas.openxmlformats.org/drawingml/2006/main"/>
        <a:p xmlns:a="http://schemas.openxmlformats.org/drawingml/2006/main">
          <a:pPr algn="ctr"/>
          <a:r>
            <a:rPr lang="ja-JP" altLang="en-US" sz="1000">
              <a:latin typeface="+mn-ea"/>
              <a:ea typeface="+mn-ea"/>
            </a:rPr>
            <a:t>商店数</a:t>
          </a:r>
          <a:r>
            <a:rPr lang="en-US" altLang="ja-JP" sz="1000">
              <a:latin typeface="+mn-ea"/>
              <a:ea typeface="+mn-ea"/>
            </a:rPr>
            <a:t>1,103</a:t>
          </a:r>
          <a:r>
            <a:rPr lang="ja-JP" altLang="en-US" sz="1000">
              <a:latin typeface="+mn-ea"/>
              <a:ea typeface="+mn-ea"/>
            </a:rPr>
            <a:t>店</a:t>
          </a:r>
          <a:endParaRPr lang="en-US" altLang="ja-JP" sz="1000" baseline="30000">
            <a:latin typeface="+mn-ea"/>
            <a:ea typeface="+mn-ea"/>
          </a:endParaRPr>
        </a:p>
        <a:p xmlns:a="http://schemas.openxmlformats.org/drawingml/2006/main">
          <a:pPr algn="ctr"/>
          <a:r>
            <a:rPr lang="ja-JP" altLang="en-US" sz="1000">
              <a:latin typeface="+mn-ea"/>
              <a:ea typeface="+mn-ea"/>
            </a:rPr>
            <a:t>（H</a:t>
          </a:r>
          <a:r>
            <a:rPr lang="en-US" altLang="ja-JP" sz="1000">
              <a:latin typeface="+mn-ea"/>
              <a:ea typeface="+mn-ea"/>
            </a:rPr>
            <a:t>28</a:t>
          </a:r>
          <a:r>
            <a:rPr lang="ja-JP" altLang="en-US" sz="1000">
              <a:latin typeface="+mn-ea"/>
              <a:ea typeface="+mn-ea"/>
            </a:rPr>
            <a:t>年度）</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docProps/app.xml><?xml version="1.0" encoding="utf-8"?>
<Properties xmlns:vt="http://schemas.openxmlformats.org/officeDocument/2006/docPropsVTypes" xmlns="http://schemas.openxmlformats.org/officeDocument/2006/extended-properties">
  <Template>Normal.dot</Template>
  <TotalTime>2960</TotalTime>
  <Pages>39</Pages>
  <Words>1203</Words>
  <Characters>12555</Characters>
  <Application>Microsoft Office Word</Application>
  <Lines>29585</Lines>
  <Paragraphs>1211</Paragraphs>
  <Company>school</Company>
  <CharactersWithSpaces>12862</CharactersWithSpaces>
  <AppVersion>1.20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津山市</dc:creator>
  <cp:lastModifiedBy>kankyouseikatsu</cp:lastModifiedBy>
  <cp:lastPrinted>2021-02-18T00:31:09Z</cp:lastPrinted>
  <dcterms:created xsi:type="dcterms:W3CDTF">2018-03-16T02:40:00Z</dcterms:created>
  <dcterms:modified xsi:type="dcterms:W3CDTF">2021-03-01T06:06:18Z</dcterms:modified>
  <cp:revision>293</cp:revision>
</cp:coreProperties>
</file>