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様式７　</w:t>
      </w:r>
      <w:bookmarkStart w:id="0" w:name="_GoBack"/>
      <w:bookmarkEnd w:id="0"/>
      <w:r>
        <w:rPr>
          <w:rFonts w:hint="eastAsia" w:asciiTheme="minorEastAsia" w:hAnsiTheme="minorEastAsia" w:eastAsiaTheme="minorEastAsia"/>
          <w:color w:val="000000" w:themeColor="text1"/>
          <w:sz w:val="22"/>
        </w:rPr>
        <w:t>※必要に応じて修正して使用</w:t>
      </w:r>
    </w:p>
    <w:p>
      <w:pPr>
        <w:pStyle w:val="0"/>
        <w:spacing w:line="320" w:lineRule="exact"/>
        <w:jc w:val="center"/>
        <w:rPr>
          <w:rFonts w:hint="eastAsia" w:asciiTheme="minorEastAsia" w:hAnsiTheme="minorEastAsia" w:eastAsiaTheme="minorEastAsia"/>
          <w:color w:val="000000" w:themeColor="text1"/>
          <w:sz w:val="22"/>
        </w:rPr>
      </w:pPr>
    </w:p>
    <w:p>
      <w:pPr>
        <w:pStyle w:val="0"/>
        <w:spacing w:line="320" w:lineRule="exact"/>
        <w:jc w:val="center"/>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4"/>
        </w:rPr>
        <w:t>「○○○○○○（提案名）」に関する協定書</w:t>
      </w:r>
    </w:p>
    <w:p>
      <w:pPr>
        <w:pStyle w:val="0"/>
        <w:spacing w:line="320" w:lineRule="exact"/>
        <w:jc w:val="left"/>
        <w:rPr>
          <w:rFonts w:hint="eastAsia" w:asciiTheme="minorEastAsia" w:hAnsiTheme="minorEastAsia" w:eastAsiaTheme="minorEastAsia"/>
          <w:color w:val="000000" w:themeColor="text1"/>
          <w:sz w:val="22"/>
        </w:rPr>
      </w:pPr>
    </w:p>
    <w:p>
      <w:pPr>
        <w:pStyle w:val="0"/>
        <w:spacing w:line="320" w:lineRule="exact"/>
        <w:jc w:val="left"/>
        <w:rPr>
          <w:rFonts w:hint="eastAsia" w:asciiTheme="minorEastAsia" w:hAnsiTheme="minorEastAsia" w:eastAsiaTheme="minorEastAsia"/>
          <w:color w:val="000000" w:themeColor="text1"/>
          <w:sz w:val="22"/>
        </w:rPr>
      </w:pPr>
    </w:p>
    <w:p>
      <w:pPr>
        <w:pStyle w:val="0"/>
        <w:spacing w:line="320" w:lineRule="exact"/>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津山市（以下「市」という。）と□□□□（以下「交渉権者」という。）は、津山市公共施設等の利活用に関する民間提案制度における協議対象案件である「○○○○○○（提案名）」（以下「本件」という。）について、事業化に向けた詳細協議を行うため、次のとおり協定を締結する。</w:t>
      </w:r>
    </w:p>
    <w:p>
      <w:pPr>
        <w:pStyle w:val="0"/>
        <w:spacing w:line="320" w:lineRule="exact"/>
        <w:jc w:val="left"/>
        <w:rPr>
          <w:rFonts w:hint="eastAsia" w:asciiTheme="minorEastAsia" w:hAnsiTheme="minorEastAsia" w:eastAsiaTheme="minorEastAsia"/>
          <w:color w:val="000000" w:themeColor="text1"/>
          <w:sz w:val="22"/>
        </w:rPr>
      </w:pPr>
    </w:p>
    <w:p>
      <w:pPr>
        <w:pStyle w:val="0"/>
        <w:spacing w:line="320" w:lineRule="exact"/>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（総則）</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第１条　市及び交渉権者は、本件の事業化に向けて誠実に協議する。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（協定の期間）</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第２条　協定の期間は、協定締結日から　　年　月　日までとする。ただし、本件の事業化に向けて、更に期間が必要と認められる場合は、協定の期間を延長できる。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（市の役割）</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第３条　市は、本件の検討・協議のために必要な組織・体制を構築する。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２　市は、本件の検討・協議のための事務局兼連絡窓口を設置する。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３　市は、本件の事業化に向けて必要な調査・検討を行う。</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（交渉権者の役割）</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第４条　</w:t>
      </w:r>
      <w:r>
        <w:rPr>
          <w:rFonts w:hint="eastAsia" w:asciiTheme="minorEastAsia" w:hAnsiTheme="minorEastAsia" w:eastAsiaTheme="minorEastAsia"/>
          <w:color w:val="000000" w:themeColor="text1"/>
          <w:spacing w:val="-6"/>
          <w:sz w:val="22"/>
        </w:rPr>
        <w:t>交渉権者は、</w:t>
      </w:r>
      <w:r>
        <w:rPr>
          <w:rFonts w:hint="eastAsia" w:asciiTheme="minorEastAsia" w:hAnsiTheme="minorEastAsia" w:eastAsiaTheme="minorEastAsia"/>
          <w:color w:val="000000" w:themeColor="text1"/>
          <w:sz w:val="22"/>
        </w:rPr>
        <w:t>市との連絡調整の窓口を設置する。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２（グループでの提案の場合）代表者は、グループ内の構成員との情報共有を行う。</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３　交渉権者は、本件の事業化に向けて必要な調査・検討を行う。</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　交渉権者は、グループ内の構成員に追加・変更等が生じた場合は速やかに市に連絡する。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　交渉権者は、事業化に向けた協議にかかる費用を負担する。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（秘密の保持）</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第５条　交渉権者は、本件の協議に際し、知りえた秘密を他人に漏らしてはならない。</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２　前項の規定による秘密の保持は、協定の期間が終了した後も同様とする。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（権利義務の譲渡等の制限）</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第６条　交渉権者は、この協定により生ずる権利又は義務の全部若しくは一部を第三者に譲渡し、若しくは継承させてはならない。ただし、あらかじめ市の承認を受けた場合は、この限りでない。</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（協議の方法）</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第７条　協議は、原則として交渉権者が行った提案の範囲内で行うものとする。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（その他）</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第８条　本協定に定めのない事項又は疑義が生じたときは、市と交渉権者の協議により定める。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この協定の締結の証として本書２通を作成し、市と交渉権者が各自１通を保有する。</w:t>
      </w:r>
    </w:p>
    <w:p>
      <w:pPr>
        <w:pStyle w:val="0"/>
        <w:spacing w:line="320" w:lineRule="exact"/>
        <w:ind w:left="204" w:hanging="204" w:hangingChars="100"/>
        <w:jc w:val="left"/>
        <w:rPr>
          <w:rFonts w:hint="eastAsia" w:asciiTheme="minorEastAsia" w:hAnsiTheme="minorEastAsia" w:eastAsiaTheme="minorEastAsia"/>
          <w:color w:val="000000" w:themeColor="text1"/>
          <w:sz w:val="22"/>
        </w:rPr>
      </w:pPr>
    </w:p>
    <w:p>
      <w:pPr>
        <w:pStyle w:val="0"/>
        <w:spacing w:line="320" w:lineRule="exact"/>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spacing w:line="320" w:lineRule="exact"/>
        <w:jc w:val="left"/>
        <w:rPr>
          <w:rFonts w:hint="eastAsia" w:asciiTheme="minorEastAsia" w:hAnsiTheme="minorEastAsia" w:eastAsiaTheme="minorEastAsia"/>
          <w:color w:val="000000" w:themeColor="text1"/>
          <w:sz w:val="22"/>
        </w:rPr>
      </w:pPr>
    </w:p>
    <w:p>
      <w:pPr>
        <w:pStyle w:val="0"/>
        <w:spacing w:line="320" w:lineRule="exact"/>
        <w:jc w:val="left"/>
        <w:rPr>
          <w:rFonts w:hint="eastAsia" w:asciiTheme="minorEastAsia" w:hAnsiTheme="minorEastAsia" w:eastAsiaTheme="minorEastAsia"/>
          <w:color w:val="000000" w:themeColor="text1"/>
          <w:sz w:val="22"/>
        </w:rPr>
      </w:pPr>
    </w:p>
    <w:p>
      <w:pPr>
        <w:pStyle w:val="0"/>
        <w:spacing w:line="320" w:lineRule="exact"/>
        <w:ind w:left="204" w:hanging="204" w:hangingChars="1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岡山県津山市山北５２０番地</w:t>
      </w:r>
    </w:p>
    <w:p>
      <w:pPr>
        <w:pStyle w:val="0"/>
        <w:spacing w:line="320" w:lineRule="exact"/>
        <w:ind w:firstLine="2653" w:firstLineChars="13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津山市長</w:t>
      </w:r>
    </w:p>
    <w:p>
      <w:pPr>
        <w:pStyle w:val="0"/>
        <w:spacing w:line="320" w:lineRule="exact"/>
        <w:ind w:leftChars="0" w:firstLine="0" w:firstLineChars="0"/>
        <w:jc w:val="left"/>
        <w:rPr>
          <w:rFonts w:hint="eastAsia" w:asciiTheme="minorEastAsia" w:hAnsiTheme="minorEastAsia" w:eastAsiaTheme="minorEastAsia"/>
          <w:color w:val="000000" w:themeColor="text1"/>
          <w:sz w:val="22"/>
        </w:rPr>
      </w:pPr>
    </w:p>
    <w:p>
      <w:pPr>
        <w:pStyle w:val="0"/>
        <w:spacing w:line="320" w:lineRule="exact"/>
        <w:ind w:leftChars="0" w:firstLine="0" w:firstLineChars="0"/>
        <w:jc w:val="left"/>
        <w:rPr>
          <w:rFonts w:hint="eastAsia" w:asciiTheme="minorEastAsia" w:hAnsiTheme="minorEastAsia" w:eastAsiaTheme="minorEastAsia"/>
          <w:color w:val="000000" w:themeColor="text1"/>
          <w:sz w:val="22"/>
        </w:rPr>
      </w:pPr>
    </w:p>
    <w:p>
      <w:pPr>
        <w:pStyle w:val="0"/>
        <w:spacing w:line="320" w:lineRule="exact"/>
        <w:ind w:firstLine="2783" w:firstLineChars="13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□□□□（交渉権者）</w:t>
      </w:r>
    </w:p>
    <w:p>
      <w:pPr>
        <w:pStyle w:val="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p>
    <w:p>
      <w:pPr>
        <w:pStyle w:val="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p>
    <w:sectPr>
      <w:headerReference r:id="rId5" w:type="default"/>
      <w:footerReference r:id="rId6" w:type="default"/>
      <w:type w:val="continuous"/>
      <w:pgSz w:w="11906" w:h="16838"/>
      <w:pgMar w:top="1417" w:right="1417" w:bottom="1134" w:left="1417" w:header="851" w:footer="567" w:gutter="0"/>
      <w:pgNumType w:start="2"/>
      <w:cols w:space="720"/>
      <w:titlePg w:val="1"/>
      <w:textDirection w:val="lrTb"/>
      <w:docGrid w:type="linesAndChars" w:linePitch="324"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明朝">
    <w:panose1 w:val="00000000000000000000"/>
    <w:charset w:val="80"/>
    <w:family w:val="roma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4"/>
  <w:bordersDoNotSurroundHeader/>
  <w:bordersDoNotSurroundFooter/>
  <w:defaultTabStop w:val="840"/>
  <w:drawingGridHorizontalSpacing w:val="102"/>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8</Pages>
  <Words>15</Words>
  <Characters>2401</Characters>
  <Application>JUST Note</Application>
  <Lines>1656</Lines>
  <Paragraphs>159</Paragraphs>
  <Company>鳥取市</Company>
  <CharactersWithSpaces>3073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user</cp:lastModifiedBy>
  <cp:lastPrinted>2018-03-26T04:43:00Z</cp:lastPrinted>
  <dcterms:created xsi:type="dcterms:W3CDTF">2018-04-02T05:14:00Z</dcterms:created>
  <dcterms:modified xsi:type="dcterms:W3CDTF">2019-05-21T23:12:32Z</dcterms:modified>
  <cp:revision>2</cp:revision>
</cp:coreProperties>
</file>