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1D" w:rsidRDefault="00A11AF6">
      <w:pPr>
        <w:rPr>
          <w:rFonts w:ascii="AR P丸ゴシック体M" w:eastAsia="AR P丸ゴシック体M" w:hAnsi="AR P丸ゴシック体M"/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AR P丸ゴシック体M" w:eastAsia="AR P丸ゴシック体M" w:hAnsi="AR P丸ゴシック体M" w:hint="eastAsia"/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津山市一般廃棄物処理基本計画の進捗状況</w:t>
      </w:r>
    </w:p>
    <w:p w:rsidR="00CB4C1D" w:rsidRDefault="00AA16CA">
      <w:pPr>
        <w:jc w:val="right"/>
        <w:rPr>
          <w:rFonts w:ascii="AR P丸ゴシック体M" w:eastAsia="AR P丸ゴシック体M" w:hAnsi="AR P丸ゴシック体M"/>
          <w:b/>
          <w:sz w:val="36"/>
        </w:rPr>
      </w:pPr>
      <w:r>
        <w:rPr>
          <w:rFonts w:ascii="AR P丸ゴシック体M" w:eastAsia="AR P丸ゴシック体M" w:hAnsi="AR P丸ゴシック体M" w:hint="eastAsia"/>
          <w:b/>
          <w:sz w:val="36"/>
        </w:rPr>
        <w:t>（令和４</w:t>
      </w:r>
      <w:r w:rsidR="00A11AF6">
        <w:rPr>
          <w:rFonts w:ascii="AR P丸ゴシック体M" w:eastAsia="AR P丸ゴシック体M" w:hAnsi="AR P丸ゴシック体M" w:hint="eastAsia"/>
          <w:b/>
          <w:sz w:val="36"/>
        </w:rPr>
        <w:t>年度更新）</w:t>
      </w:r>
    </w:p>
    <w:p w:rsidR="00CB4C1D" w:rsidRDefault="00A11AF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本市では、「津山市一般廃棄物処理基本計画」に基づき、ごみの排出抑制から最終処分に至るまで、適正な処理を行うよう取組を進めています。</w:t>
      </w:r>
    </w:p>
    <w:p w:rsidR="00CB4C1D" w:rsidRDefault="00A11AF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本資料において、ごみの排出・処理状況等に関する主な取組実績について報告するものです。</w:t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A11AF6">
      <w:pPr>
        <w:rPr>
          <w:rFonts w:ascii="AR P丸ゴシック体M" w:eastAsia="AR P丸ゴシック体M" w:hAnsi="AR P丸ゴシック体M"/>
          <w:sz w:val="32"/>
        </w:rPr>
      </w:pPr>
      <w:r>
        <w:rPr>
          <w:rFonts w:ascii="AR P丸ゴシック体M" w:eastAsia="AR P丸ゴシック体M" w:hAnsi="AR P丸ゴシック体M" w:hint="eastAsia"/>
          <w:sz w:val="32"/>
        </w:rPr>
        <w:t>■</w:t>
      </w:r>
      <w:r>
        <w:rPr>
          <w:rFonts w:ascii="AR P丸ゴシック体M" w:eastAsia="AR P丸ゴシック体M" w:hAnsi="AR P丸ゴシック体M" w:hint="eastAsia"/>
          <w:b/>
          <w:sz w:val="32"/>
        </w:rPr>
        <w:t>計画の基本理念</w:t>
      </w:r>
      <w:r>
        <w:rPr>
          <w:rFonts w:ascii="ＭＳ 明朝" w:eastAsia="ＭＳ 明朝" w:hAnsi="ＭＳ 明朝" w:hint="eastAsia"/>
          <w:b/>
          <w:sz w:val="32"/>
        </w:rPr>
        <w:t>・</w:t>
      </w:r>
      <w:r>
        <w:rPr>
          <w:rFonts w:ascii="AR P丸ゴシック体M" w:eastAsia="AR P丸ゴシック体M" w:hAnsi="AR P丸ゴシック体M" w:hint="eastAsia"/>
          <w:b/>
          <w:sz w:val="32"/>
        </w:rPr>
        <w:t>基本方針</w:t>
      </w:r>
    </w:p>
    <w:p w:rsidR="00CB4C1D" w:rsidRDefault="00A11AF6">
      <w:pPr>
        <w:rPr>
          <w:rFonts w:ascii="AR P丸ゴシック体M" w:eastAsia="AR P丸ゴシック体M" w:hAnsi="AR P丸ゴシック体M"/>
          <w:b/>
          <w:sz w:val="28"/>
          <w:u w:val="double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</w:t>
      </w:r>
      <w:r>
        <w:rPr>
          <w:rFonts w:ascii="AR P丸ゴシック体M" w:eastAsia="AR P丸ゴシック体M" w:hAnsi="AR P丸ゴシック体M" w:hint="eastAsia"/>
          <w:b/>
          <w:sz w:val="28"/>
          <w:u w:val="double"/>
        </w:rPr>
        <w:t>基本理念</w:t>
      </w:r>
      <w:bookmarkStart w:id="0" w:name="_GoBack"/>
      <w:bookmarkEnd w:id="0"/>
    </w:p>
    <w:p w:rsidR="00CB4C1D" w:rsidRDefault="001232A3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　「住</w:t>
      </w:r>
      <w:r w:rsidR="00A11AF6">
        <w:rPr>
          <w:rFonts w:ascii="AR P丸ゴシック体M" w:eastAsia="AR P丸ゴシック体M" w:hAnsi="AR P丸ゴシック体M" w:hint="eastAsia"/>
          <w:sz w:val="24"/>
        </w:rPr>
        <w:t>民</w:t>
      </w:r>
      <w:r w:rsidR="00A11AF6">
        <w:rPr>
          <w:rFonts w:ascii="ＭＳ 明朝" w:eastAsia="ＭＳ 明朝" w:hAnsi="ＭＳ 明朝" w:hint="eastAsia"/>
          <w:sz w:val="24"/>
        </w:rPr>
        <w:t>・</w:t>
      </w:r>
      <w:r w:rsidR="00A11AF6">
        <w:rPr>
          <w:rFonts w:ascii="AR P丸ゴシック体M" w:eastAsia="AR P丸ゴシック体M" w:hAnsi="AR P丸ゴシック体M" w:hint="eastAsia"/>
          <w:sz w:val="24"/>
        </w:rPr>
        <w:t>事業者</w:t>
      </w:r>
      <w:r w:rsidR="00A11AF6">
        <w:rPr>
          <w:rFonts w:ascii="ＭＳ 明朝" w:eastAsia="ＭＳ 明朝" w:hAnsi="ＭＳ 明朝" w:hint="eastAsia"/>
          <w:sz w:val="24"/>
        </w:rPr>
        <w:t>・</w:t>
      </w:r>
      <w:r w:rsidR="00A11AF6">
        <w:rPr>
          <w:rFonts w:ascii="AR P丸ゴシック体M" w:eastAsia="AR P丸ゴシック体M" w:hAnsi="AR P丸ゴシック体M" w:hint="eastAsia"/>
          <w:sz w:val="24"/>
        </w:rPr>
        <w:t>市民団体</w:t>
      </w:r>
      <w:r w:rsidR="00A11AF6">
        <w:rPr>
          <w:rFonts w:ascii="ＭＳ 明朝" w:eastAsia="ＭＳ 明朝" w:hAnsi="ＭＳ 明朝" w:hint="eastAsia"/>
          <w:sz w:val="24"/>
        </w:rPr>
        <w:t>・</w:t>
      </w:r>
      <w:r w:rsidR="00A11AF6">
        <w:rPr>
          <w:rFonts w:ascii="AR P丸ゴシック体M" w:eastAsia="AR P丸ゴシック体M" w:hAnsi="AR P丸ゴシック体M" w:hint="eastAsia"/>
          <w:sz w:val="24"/>
        </w:rPr>
        <w:t>行政が協働して創る循環型のまちづくり」</w:t>
      </w:r>
    </w:p>
    <w:p w:rsidR="00CB4C1D" w:rsidRDefault="00A11AF6">
      <w:pPr>
        <w:rPr>
          <w:rFonts w:ascii="AR P丸ゴシック体M" w:eastAsia="AR P丸ゴシック体M" w:hAnsi="AR P丸ゴシック体M"/>
          <w:b/>
          <w:sz w:val="28"/>
          <w:u w:val="double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</w:t>
      </w:r>
      <w:r>
        <w:rPr>
          <w:rFonts w:ascii="AR P丸ゴシック体M" w:eastAsia="AR P丸ゴシック体M" w:hAnsi="AR P丸ゴシック体M" w:hint="eastAsia"/>
          <w:b/>
          <w:sz w:val="28"/>
          <w:u w:val="double"/>
        </w:rPr>
        <w:t>基本方針</w:t>
      </w:r>
    </w:p>
    <w:p w:rsidR="00CB4C1D" w:rsidRDefault="00A11AF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　１　ごみの発生抑制</w:t>
      </w: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AR P丸ゴシック体M" w:eastAsia="AR P丸ゴシック体M" w:hAnsi="AR P丸ゴシック体M" w:hint="eastAsia"/>
          <w:sz w:val="24"/>
        </w:rPr>
        <w:t>再生利用の推進</w:t>
      </w:r>
    </w:p>
    <w:p w:rsidR="00CB4C1D" w:rsidRDefault="00A11AF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　２　ごみのリサイクルの推進</w:t>
      </w:r>
    </w:p>
    <w:p w:rsidR="00CB4C1D" w:rsidRDefault="001232A3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　３　住</w:t>
      </w:r>
      <w:r w:rsidR="00A11AF6">
        <w:rPr>
          <w:rFonts w:ascii="AR P丸ゴシック体M" w:eastAsia="AR P丸ゴシック体M" w:hAnsi="AR P丸ゴシック体M" w:hint="eastAsia"/>
          <w:sz w:val="24"/>
        </w:rPr>
        <w:t>民</w:t>
      </w:r>
      <w:r w:rsidR="00A11AF6">
        <w:rPr>
          <w:rFonts w:ascii="ＭＳ 明朝" w:eastAsia="ＭＳ 明朝" w:hAnsi="ＭＳ 明朝" w:hint="eastAsia"/>
          <w:sz w:val="24"/>
        </w:rPr>
        <w:t>・</w:t>
      </w:r>
      <w:r w:rsidR="00A11AF6">
        <w:rPr>
          <w:rFonts w:ascii="AR P丸ゴシック体M" w:eastAsia="AR P丸ゴシック体M" w:hAnsi="AR P丸ゴシック体M" w:hint="eastAsia"/>
          <w:sz w:val="24"/>
        </w:rPr>
        <w:t>事業者</w:t>
      </w:r>
      <w:r w:rsidR="00A11AF6">
        <w:rPr>
          <w:rFonts w:ascii="ＭＳ 明朝" w:eastAsia="ＭＳ 明朝" w:hAnsi="ＭＳ 明朝" w:hint="eastAsia"/>
          <w:sz w:val="24"/>
        </w:rPr>
        <w:t>・</w:t>
      </w:r>
      <w:r w:rsidR="00A11AF6">
        <w:rPr>
          <w:rFonts w:ascii="AR P丸ゴシック体M" w:eastAsia="AR P丸ゴシック体M" w:hAnsi="AR P丸ゴシック体M" w:hint="eastAsia"/>
          <w:sz w:val="24"/>
        </w:rPr>
        <w:t>市民団体</w:t>
      </w:r>
      <w:r w:rsidR="00A11AF6">
        <w:rPr>
          <w:rFonts w:ascii="ＭＳ 明朝" w:eastAsia="ＭＳ 明朝" w:hAnsi="ＭＳ 明朝" w:hint="eastAsia"/>
          <w:sz w:val="24"/>
        </w:rPr>
        <w:t>・</w:t>
      </w:r>
      <w:r w:rsidR="00A11AF6">
        <w:rPr>
          <w:rFonts w:ascii="AR P丸ゴシック体M" w:eastAsia="AR P丸ゴシック体M" w:hAnsi="AR P丸ゴシック体M" w:hint="eastAsia"/>
          <w:sz w:val="24"/>
        </w:rPr>
        <w:t>行政の協働</w:t>
      </w:r>
    </w:p>
    <w:p w:rsidR="00CB4C1D" w:rsidRDefault="00A11AF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　４　適正かつ安全・安心な廃棄物処理の推進</w:t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A11AF6">
      <w:pPr>
        <w:rPr>
          <w:rFonts w:ascii="AR P丸ゴシック体M" w:eastAsia="AR P丸ゴシック体M" w:hAnsi="AR P丸ゴシック体M"/>
          <w:sz w:val="32"/>
        </w:rPr>
      </w:pPr>
      <w:r>
        <w:rPr>
          <w:rFonts w:ascii="AR P丸ゴシック体M" w:eastAsia="AR P丸ゴシック体M" w:hAnsi="AR P丸ゴシック体M" w:hint="eastAsia"/>
          <w:sz w:val="32"/>
        </w:rPr>
        <w:t>■</w:t>
      </w:r>
      <w:r>
        <w:rPr>
          <w:rFonts w:ascii="AR P丸ゴシック体M" w:eastAsia="AR P丸ゴシック体M" w:hAnsi="AR P丸ゴシック体M" w:hint="eastAsia"/>
          <w:b/>
          <w:sz w:val="32"/>
        </w:rPr>
        <w:t>計画の期間</w:t>
      </w:r>
    </w:p>
    <w:p w:rsidR="00CB4C1D" w:rsidRDefault="00A11AF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平成29年度から令和7年度の9年間</w:t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A11AF6">
      <w:pPr>
        <w:rPr>
          <w:rFonts w:ascii="AR P丸ゴシック体M" w:eastAsia="AR P丸ゴシック体M" w:hAnsi="AR P丸ゴシック体M"/>
          <w:sz w:val="32"/>
        </w:rPr>
      </w:pPr>
      <w:r>
        <w:rPr>
          <w:rFonts w:ascii="AR P丸ゴシック体M" w:eastAsia="AR P丸ゴシック体M" w:hAnsi="AR P丸ゴシック体M" w:hint="eastAsia"/>
          <w:sz w:val="32"/>
        </w:rPr>
        <w:t>■</w:t>
      </w:r>
      <w:r>
        <w:rPr>
          <w:rFonts w:ascii="AR P丸ゴシック体M" w:eastAsia="AR P丸ゴシック体M" w:hAnsi="AR P丸ゴシック体M" w:hint="eastAsia"/>
          <w:b/>
          <w:sz w:val="32"/>
        </w:rPr>
        <w:t>主な計画目標に対する実績</w:t>
      </w:r>
    </w:p>
    <w:p w:rsidR="00CB4C1D" w:rsidRDefault="00A11AF6">
      <w:pPr>
        <w:ind w:firstLineChars="100" w:firstLine="280"/>
        <w:rPr>
          <w:rFonts w:ascii="AR P丸ゴシック体M" w:eastAsia="AR P丸ゴシック体M" w:hAnsi="AR P丸ゴシック体M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⑴　</w:t>
      </w:r>
      <w:r>
        <w:rPr>
          <w:rFonts w:ascii="AR P丸ゴシック体M" w:eastAsia="AR P丸ゴシック体M" w:hAnsi="AR P丸ゴシック体M" w:hint="eastAsia"/>
          <w:sz w:val="28"/>
        </w:rPr>
        <w:t>1人1日当たりのごみの排出量</w:t>
      </w:r>
    </w:p>
    <w:p w:rsidR="00CB4C1D" w:rsidRDefault="00A11AF6">
      <w:pPr>
        <w:ind w:leftChars="-135" w:left="-283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drawing>
          <wp:inline distT="0" distB="0" distL="0" distR="0">
            <wp:extent cx="5838825" cy="2381250"/>
            <wp:effectExtent l="0" t="0" r="9525" b="0"/>
            <wp:docPr id="1026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(注)H30は災害ごみ量を除く</w:t>
      </w:r>
    </w:p>
    <w:p w:rsidR="00CB4C1D" w:rsidRDefault="00A11AF6">
      <w:pPr>
        <w:ind w:firstLineChars="100" w:firstLine="280"/>
        <w:rPr>
          <w:rFonts w:ascii="AR P丸ゴシック体M" w:eastAsia="AR P丸ゴシック体M" w:hAnsi="AR P丸ゴシック体M"/>
          <w:sz w:val="28"/>
        </w:rPr>
      </w:pPr>
      <w:r>
        <w:rPr>
          <w:rFonts w:ascii="ＭＳ 明朝" w:eastAsia="ＭＳ 明朝" w:hAnsi="ＭＳ 明朝" w:hint="eastAsia"/>
          <w:sz w:val="28"/>
        </w:rPr>
        <w:lastRenderedPageBreak/>
        <w:t xml:space="preserve">⑵　</w:t>
      </w:r>
      <w:r>
        <w:rPr>
          <w:rFonts w:ascii="AR P丸ゴシック体M" w:eastAsia="AR P丸ゴシック体M" w:hAnsi="AR P丸ゴシック体M" w:hint="eastAsia"/>
          <w:sz w:val="28"/>
        </w:rPr>
        <w:t>リサイクル率</w:t>
      </w:r>
    </w:p>
    <w:p w:rsidR="00CB4C1D" w:rsidRDefault="00A11AF6">
      <w:pPr>
        <w:ind w:leftChars="-135" w:left="-283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drawing>
          <wp:inline distT="0" distB="0" distL="0" distR="0">
            <wp:extent cx="5905500" cy="3276600"/>
            <wp:effectExtent l="0" t="0" r="0" b="0"/>
            <wp:docPr id="1027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(注)H30は災害ごみ量を除く</w:t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A11AF6">
      <w:pPr>
        <w:ind w:firstLineChars="100" w:firstLine="280"/>
        <w:rPr>
          <w:rFonts w:ascii="AR P丸ゴシック体M" w:eastAsia="AR P丸ゴシック体M" w:hAnsi="AR P丸ゴシック体M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⑶　</w:t>
      </w:r>
      <w:r>
        <w:rPr>
          <w:rFonts w:ascii="AR P丸ゴシック体M" w:eastAsia="AR P丸ゴシック体M" w:hAnsi="AR P丸ゴシック体M" w:hint="eastAsia"/>
          <w:sz w:val="28"/>
        </w:rPr>
        <w:t>市の出前講座の年間参加者数</w:t>
      </w:r>
    </w:p>
    <w:p w:rsidR="00CB4C1D" w:rsidRDefault="00A11AF6">
      <w:pPr>
        <w:ind w:leftChars="-135" w:left="-283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w:drawing>
          <wp:inline distT="0" distB="0" distL="0" distR="0">
            <wp:extent cx="5876925" cy="4200525"/>
            <wp:effectExtent l="0" t="0" r="9525" b="9525"/>
            <wp:docPr id="1028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A11AF6">
      <w:pPr>
        <w:rPr>
          <w:rFonts w:ascii="AR P丸ゴシック体M" w:eastAsia="AR P丸ゴシック体M" w:hAnsi="AR P丸ゴシック体M"/>
          <w:b/>
          <w:sz w:val="32"/>
        </w:rPr>
      </w:pPr>
      <w:r>
        <w:rPr>
          <w:rFonts w:ascii="AR P丸ゴシック体M" w:eastAsia="AR P丸ゴシック体M" w:hAnsi="AR P丸ゴシック体M" w:hint="eastAsia"/>
          <w:sz w:val="32"/>
        </w:rPr>
        <w:lastRenderedPageBreak/>
        <w:t>■</w:t>
      </w:r>
      <w:r>
        <w:rPr>
          <w:rFonts w:ascii="AR P丸ゴシック体M" w:eastAsia="AR P丸ゴシック体M" w:hAnsi="AR P丸ゴシック体M" w:hint="eastAsia"/>
          <w:b/>
          <w:sz w:val="32"/>
        </w:rPr>
        <w:t>その他の実績</w:t>
      </w:r>
    </w:p>
    <w:p w:rsidR="00CB4C1D" w:rsidRDefault="00A11AF6">
      <w:pPr>
        <w:ind w:firstLineChars="100" w:firstLine="280"/>
        <w:rPr>
          <w:rFonts w:ascii="AR P丸ゴシック体M" w:eastAsia="AR P丸ゴシック体M" w:hAnsi="AR P丸ゴシック体M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⑴　</w:t>
      </w:r>
      <w:r>
        <w:rPr>
          <w:rFonts w:ascii="AR P丸ゴシック体M" w:eastAsia="AR P丸ゴシック体M" w:hAnsi="AR P丸ゴシック体M" w:hint="eastAsia"/>
          <w:sz w:val="28"/>
        </w:rPr>
        <w:t>ごみ排出量集計表</w:t>
      </w:r>
    </w:p>
    <w:tbl>
      <w:tblPr>
        <w:tblStyle w:val="ac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4"/>
        <w:gridCol w:w="1112"/>
        <w:gridCol w:w="1134"/>
        <w:gridCol w:w="992"/>
        <w:gridCol w:w="1134"/>
        <w:gridCol w:w="1134"/>
        <w:gridCol w:w="709"/>
      </w:tblGrid>
      <w:tr w:rsidR="00CB4C1D">
        <w:trPr>
          <w:trHeight w:val="645"/>
        </w:trPr>
        <w:tc>
          <w:tcPr>
            <w:tcW w:w="2574" w:type="dxa"/>
            <w:vMerge w:val="restart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区分</w:t>
            </w:r>
          </w:p>
        </w:tc>
        <w:tc>
          <w:tcPr>
            <w:tcW w:w="1112" w:type="dxa"/>
            <w:vMerge w:val="restart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Ｈ26</w:t>
            </w:r>
          </w:p>
        </w:tc>
        <w:tc>
          <w:tcPr>
            <w:tcW w:w="1134" w:type="dxa"/>
            <w:vMerge w:val="restart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Ｈ27</w:t>
            </w:r>
          </w:p>
        </w:tc>
        <w:tc>
          <w:tcPr>
            <w:tcW w:w="992" w:type="dxa"/>
            <w:vMerge w:val="restart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Ｈ28</w:t>
            </w:r>
          </w:p>
        </w:tc>
        <w:tc>
          <w:tcPr>
            <w:tcW w:w="1134" w:type="dxa"/>
            <w:vMerge w:val="restart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Ｈ29</w:t>
            </w:r>
          </w:p>
        </w:tc>
        <w:tc>
          <w:tcPr>
            <w:tcW w:w="1843" w:type="dxa"/>
            <w:gridSpan w:val="2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Ｈ30</w:t>
            </w:r>
          </w:p>
        </w:tc>
      </w:tr>
      <w:tr w:rsidR="00CB4C1D">
        <w:trPr>
          <w:trHeight w:val="420"/>
        </w:trPr>
        <w:tc>
          <w:tcPr>
            <w:tcW w:w="2574" w:type="dxa"/>
            <w:vMerge/>
            <w:vAlign w:val="center"/>
          </w:tcPr>
          <w:p w:rsidR="00CB4C1D" w:rsidRDefault="00CB4C1D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112" w:type="dxa"/>
            <w:vMerge/>
            <w:vAlign w:val="center"/>
          </w:tcPr>
          <w:p w:rsidR="00CB4C1D" w:rsidRDefault="00CB4C1D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B4C1D" w:rsidRDefault="00CB4C1D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CB4C1D" w:rsidRDefault="00CB4C1D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B4C1D" w:rsidRDefault="00CB4C1D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災害ごみを除く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災害</w:t>
            </w:r>
          </w:p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ごみ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①可燃ごみ(ｔ)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26,506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26,774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26,225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27,277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26,977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55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②不燃ごみ（ｔ）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1,464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1,522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775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628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579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79</w:t>
            </w:r>
          </w:p>
        </w:tc>
      </w:tr>
      <w:tr w:rsidR="00CB4C1D">
        <w:trPr>
          <w:trHeight w:val="480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③資源ごみ（ｔ）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2,746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2,800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2,858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2,665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2,357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④粗大ごみ(ｔ)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529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614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924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1,022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1,254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14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⑤小型家電（ｔ）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0</w:t>
            </w:r>
          </w:p>
        </w:tc>
      </w:tr>
      <w:tr w:rsidR="00CB4C1D">
        <w:trPr>
          <w:trHeight w:val="480"/>
        </w:trPr>
        <w:tc>
          <w:tcPr>
            <w:tcW w:w="2574" w:type="dxa"/>
            <w:vAlign w:val="center"/>
          </w:tcPr>
          <w:p w:rsidR="00CB4C1D" w:rsidRPr="00D0615B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 w:rsidRPr="00D0615B">
              <w:rPr>
                <w:rFonts w:ascii="AR P丸ゴシック体M" w:eastAsia="AR P丸ゴシック体M" w:hAnsi="AR P丸ゴシック体M" w:hint="eastAsia"/>
                <w:sz w:val="24"/>
              </w:rPr>
              <w:t>⑥小計(ｔ)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31,250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31,714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30,790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31,601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31,176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149</w:t>
            </w:r>
          </w:p>
        </w:tc>
      </w:tr>
      <w:tr w:rsidR="00CB4C1D">
        <w:trPr>
          <w:trHeight w:val="480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⑦ごみ処理量(ｔ)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30,548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33,464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33,046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31,392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149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⑧集団回収(ｔ)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3,145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2,711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2,431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2,094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1,800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0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⑨ごみ総排出量(ｔ)</w:t>
            </w:r>
          </w:p>
          <w:p w:rsidR="00CB4C1D" w:rsidRDefault="00A11AF6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（⑥＋⑧）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34,395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34,425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33,221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33,695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32,976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149</w:t>
            </w:r>
          </w:p>
        </w:tc>
      </w:tr>
      <w:tr w:rsidR="00CB4C1D">
        <w:trPr>
          <w:trHeight w:val="480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⑩ごみ処理量</w:t>
            </w:r>
          </w:p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＋集団回収量(ｔ)</w:t>
            </w:r>
          </w:p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　（⑦＋⑧）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33,259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35,895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35,140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33,192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149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⑪10月1日人口(人)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104,840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104,056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103,117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102,348</w:t>
            </w:r>
          </w:p>
        </w:tc>
        <w:tc>
          <w:tcPr>
            <w:tcW w:w="1843" w:type="dxa"/>
            <w:gridSpan w:val="2"/>
            <w:vAlign w:val="center"/>
          </w:tcPr>
          <w:p w:rsidR="00CB4C1D" w:rsidRDefault="00A11AF6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101,604</w:t>
            </w:r>
          </w:p>
        </w:tc>
      </w:tr>
      <w:tr w:rsidR="00CB4C1D">
        <w:trPr>
          <w:trHeight w:val="1006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⑫1人</w:t>
            </w:r>
            <w:r>
              <w:rPr>
                <w:rFonts w:ascii="ＭＳ 明朝" w:eastAsia="ＭＳ 明朝" w:hAnsi="ＭＳ 明朝" w:hint="eastAsia"/>
                <w:sz w:val="24"/>
              </w:rPr>
              <w:t>1日</w:t>
            </w:r>
            <w:r>
              <w:rPr>
                <w:rFonts w:ascii="AR P丸ゴシック体M" w:eastAsia="AR P丸ゴシック体M" w:hAnsi="AR P丸ゴシック体M" w:hint="eastAsia"/>
                <w:sz w:val="24"/>
              </w:rPr>
              <w:t>当たり</w:t>
            </w:r>
          </w:p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ごみ量(ｇ)</w:t>
            </w:r>
          </w:p>
          <w:p w:rsidR="00CB4C1D" w:rsidRDefault="00A11AF6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（⑨／⑪／365日）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899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906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883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902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889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4</w:t>
            </w:r>
          </w:p>
        </w:tc>
      </w:tr>
      <w:tr w:rsidR="00CB4C1D">
        <w:trPr>
          <w:trHeight w:val="480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全国平均(ｇ)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947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939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925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920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918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岡山県平均(ｇ)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1,003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979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993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970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⑬資源化量(ｔ)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7,140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5,632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5,125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5,155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4,907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138</w:t>
            </w:r>
          </w:p>
        </w:tc>
      </w:tr>
      <w:tr w:rsidR="00CB4C1D">
        <w:trPr>
          <w:trHeight w:val="480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⑭資源化量合計(ｔ)</w:t>
            </w:r>
          </w:p>
          <w:p w:rsidR="00CB4C1D" w:rsidRDefault="00A11AF6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（⑧＋⑬）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10,285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8,343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7,556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7,249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6,707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138</w:t>
            </w:r>
          </w:p>
        </w:tc>
      </w:tr>
      <w:tr w:rsidR="00CB4C1D">
        <w:trPr>
          <w:trHeight w:val="1185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⑮資源化率(％)</w:t>
            </w:r>
          </w:p>
          <w:p w:rsidR="00CB4C1D" w:rsidRDefault="00A11AF6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～Ｈ26（⑭／⑨×100）</w:t>
            </w:r>
          </w:p>
          <w:p w:rsidR="00CB4C1D" w:rsidRDefault="00A11AF6">
            <w:pPr>
              <w:ind w:firstLineChars="100" w:firstLine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Ｈ27～（⑭／⑩×100）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29.9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25.1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21.1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20.6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20.2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92.6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全国平均</w:t>
            </w:r>
            <w:r>
              <w:rPr>
                <w:rFonts w:ascii="ＭＳ 明朝" w:eastAsia="ＭＳ 明朝" w:hAnsi="ＭＳ 明朝" w:hint="eastAsia"/>
                <w:sz w:val="24"/>
              </w:rPr>
              <w:t>(％)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20.6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20.4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20.3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20.2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19.9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  <w:tr w:rsidR="00CB4C1D">
        <w:trPr>
          <w:trHeight w:val="501"/>
        </w:trPr>
        <w:tc>
          <w:tcPr>
            <w:tcW w:w="2574" w:type="dxa"/>
            <w:vAlign w:val="center"/>
          </w:tcPr>
          <w:p w:rsidR="00CB4C1D" w:rsidRDefault="00A11AF6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岡山県平均</w:t>
            </w:r>
            <w:r>
              <w:rPr>
                <w:rFonts w:ascii="ＭＳ 明朝" w:eastAsia="ＭＳ 明朝" w:hAnsi="ＭＳ 明朝" w:hint="eastAsia"/>
                <w:sz w:val="24"/>
              </w:rPr>
              <w:t>(％)</w:t>
            </w:r>
          </w:p>
        </w:tc>
        <w:tc>
          <w:tcPr>
            <w:tcW w:w="111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29.5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30.3</w:t>
            </w:r>
          </w:p>
        </w:tc>
        <w:tc>
          <w:tcPr>
            <w:tcW w:w="992" w:type="dxa"/>
            <w:vAlign w:val="center"/>
          </w:tcPr>
          <w:p w:rsidR="00CB4C1D" w:rsidRDefault="00A11AF6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31.2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29.6</w:t>
            </w:r>
          </w:p>
        </w:tc>
        <w:tc>
          <w:tcPr>
            <w:tcW w:w="1134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28.6</w:t>
            </w:r>
          </w:p>
        </w:tc>
        <w:tc>
          <w:tcPr>
            <w:tcW w:w="709" w:type="dxa"/>
            <w:vAlign w:val="center"/>
          </w:tcPr>
          <w:p w:rsidR="00CB4C1D" w:rsidRDefault="00A11AF6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</w:tbl>
    <w:p w:rsidR="00CB4C1D" w:rsidRDefault="00CB4C1D">
      <w:pPr>
        <w:ind w:firstLineChars="100" w:firstLine="280"/>
        <w:rPr>
          <w:rFonts w:ascii="AR P丸ゴシック体M" w:eastAsia="AR P丸ゴシック体M" w:hAnsi="AR P丸ゴシック体M"/>
          <w:sz w:val="28"/>
        </w:rPr>
      </w:pPr>
    </w:p>
    <w:tbl>
      <w:tblPr>
        <w:tblStyle w:val="ac"/>
        <w:tblW w:w="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1"/>
        <w:gridCol w:w="1127"/>
        <w:gridCol w:w="992"/>
        <w:gridCol w:w="992"/>
      </w:tblGrid>
      <w:tr w:rsidR="006B6129" w:rsidTr="006B6129">
        <w:trPr>
          <w:trHeight w:val="1181"/>
        </w:trPr>
        <w:tc>
          <w:tcPr>
            <w:tcW w:w="2701" w:type="dxa"/>
            <w:vAlign w:val="center"/>
          </w:tcPr>
          <w:p w:rsidR="006B6129" w:rsidRDefault="006B6129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区分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R1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R2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R3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①可燃ごみ(ｔ)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28,515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27,411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27,059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②不燃ごみ（ｔ）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566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601</w:t>
            </w:r>
          </w:p>
        </w:tc>
        <w:tc>
          <w:tcPr>
            <w:tcW w:w="992" w:type="dxa"/>
            <w:vAlign w:val="center"/>
          </w:tcPr>
          <w:p w:rsidR="006B6129" w:rsidRDefault="00C94F3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519</w:t>
            </w:r>
          </w:p>
        </w:tc>
      </w:tr>
      <w:tr w:rsidR="006B6129" w:rsidTr="006B6129">
        <w:trPr>
          <w:trHeight w:val="528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③資源ごみ（ｔ）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2,230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2,158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2,228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④粗大ごみ(ｔ)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1,621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1,929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1,988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⑤小型家電（ｔ）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</w:t>
            </w:r>
          </w:p>
        </w:tc>
      </w:tr>
      <w:tr w:rsidR="006B6129" w:rsidTr="006B6129">
        <w:trPr>
          <w:trHeight w:val="528"/>
        </w:trPr>
        <w:tc>
          <w:tcPr>
            <w:tcW w:w="2701" w:type="dxa"/>
            <w:vAlign w:val="center"/>
          </w:tcPr>
          <w:p w:rsidR="006B6129" w:rsidRPr="00D0615B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 w:rsidRPr="00D0615B">
              <w:rPr>
                <w:rFonts w:ascii="AR P丸ゴシック体M" w:eastAsia="AR P丸ゴシック体M" w:hAnsi="AR P丸ゴシック体M" w:hint="eastAsia"/>
                <w:sz w:val="24"/>
              </w:rPr>
              <w:t>⑥小計(ｔ)</w:t>
            </w:r>
          </w:p>
        </w:tc>
        <w:tc>
          <w:tcPr>
            <w:tcW w:w="1127" w:type="dxa"/>
            <w:vAlign w:val="center"/>
          </w:tcPr>
          <w:p w:rsidR="006B6129" w:rsidRDefault="00C94F3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32,938</w:t>
            </w:r>
          </w:p>
        </w:tc>
        <w:tc>
          <w:tcPr>
            <w:tcW w:w="992" w:type="dxa"/>
            <w:vAlign w:val="center"/>
          </w:tcPr>
          <w:p w:rsidR="006B6129" w:rsidRDefault="00C94F3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32,105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31,800</w:t>
            </w:r>
          </w:p>
        </w:tc>
      </w:tr>
      <w:tr w:rsidR="006B6129" w:rsidTr="006B6129">
        <w:trPr>
          <w:trHeight w:val="528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⑦ごみ処理量(ｔ)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33,113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31,761</w:t>
            </w:r>
          </w:p>
        </w:tc>
        <w:tc>
          <w:tcPr>
            <w:tcW w:w="992" w:type="dxa"/>
            <w:vAlign w:val="center"/>
          </w:tcPr>
          <w:p w:rsidR="006B6129" w:rsidRDefault="00C94F3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32,065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⑧集団回収(ｔ)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1,586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1,119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1,147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⑨ごみ総排出量(ｔ)</w:t>
            </w:r>
          </w:p>
          <w:p w:rsidR="006B6129" w:rsidRDefault="006B6129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（⑥＋⑧）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34,524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33,224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32,947</w:t>
            </w:r>
          </w:p>
        </w:tc>
      </w:tr>
      <w:tr w:rsidR="006B6129" w:rsidTr="006B6129">
        <w:trPr>
          <w:trHeight w:val="528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⑩ごみ処理量</w:t>
            </w:r>
          </w:p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＋集団回収量(ｔ)</w:t>
            </w:r>
          </w:p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　（⑦＋⑧）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34,699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32,880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33,212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⑪10月1日人口(人)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100,714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99,994</w:t>
            </w:r>
          </w:p>
        </w:tc>
        <w:tc>
          <w:tcPr>
            <w:tcW w:w="992" w:type="dxa"/>
            <w:vAlign w:val="center"/>
          </w:tcPr>
          <w:p w:rsidR="006B6129" w:rsidRDefault="0055176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99,058</w:t>
            </w:r>
          </w:p>
        </w:tc>
      </w:tr>
      <w:tr w:rsidR="006B6129" w:rsidTr="006B6129">
        <w:trPr>
          <w:trHeight w:val="1106"/>
        </w:trPr>
        <w:tc>
          <w:tcPr>
            <w:tcW w:w="2701" w:type="dxa"/>
            <w:vAlign w:val="center"/>
          </w:tcPr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⑫1人</w:t>
            </w:r>
            <w:r>
              <w:rPr>
                <w:rFonts w:ascii="ＭＳ 明朝" w:eastAsia="ＭＳ 明朝" w:hAnsi="ＭＳ 明朝" w:hint="eastAsia"/>
                <w:sz w:val="24"/>
              </w:rPr>
              <w:t>1日</w:t>
            </w:r>
            <w:r>
              <w:rPr>
                <w:rFonts w:ascii="AR P丸ゴシック体M" w:eastAsia="AR P丸ゴシック体M" w:hAnsi="AR P丸ゴシック体M" w:hint="eastAsia"/>
                <w:sz w:val="24"/>
              </w:rPr>
              <w:t>当たり</w:t>
            </w:r>
          </w:p>
          <w:p w:rsidR="006B6129" w:rsidRDefault="006B612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ごみ量(ｇ)</w:t>
            </w:r>
          </w:p>
          <w:p w:rsidR="006B6129" w:rsidRDefault="006B6129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（⑨／⑪／365日）</w:t>
            </w:r>
          </w:p>
        </w:tc>
        <w:tc>
          <w:tcPr>
            <w:tcW w:w="1127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939</w:t>
            </w:r>
          </w:p>
        </w:tc>
        <w:tc>
          <w:tcPr>
            <w:tcW w:w="992" w:type="dxa"/>
            <w:vAlign w:val="center"/>
          </w:tcPr>
          <w:p w:rsidR="006B6129" w:rsidRDefault="006B612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910</w:t>
            </w:r>
          </w:p>
        </w:tc>
        <w:tc>
          <w:tcPr>
            <w:tcW w:w="992" w:type="dxa"/>
            <w:vAlign w:val="center"/>
          </w:tcPr>
          <w:p w:rsidR="006B6129" w:rsidRDefault="00885F64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</w:t>
            </w:r>
            <w:r w:rsidR="006B6129">
              <w:rPr>
                <w:rFonts w:ascii="AR P丸ゴシック体M" w:eastAsia="AR P丸ゴシック体M" w:hAnsi="AR P丸ゴシック体M" w:hint="eastAsia"/>
                <w:sz w:val="24"/>
              </w:rPr>
              <w:t>１１</w:t>
            </w:r>
          </w:p>
        </w:tc>
      </w:tr>
      <w:tr w:rsidR="006B6129" w:rsidTr="006B6129">
        <w:trPr>
          <w:trHeight w:val="528"/>
        </w:trPr>
        <w:tc>
          <w:tcPr>
            <w:tcW w:w="2701" w:type="dxa"/>
            <w:vAlign w:val="center"/>
          </w:tcPr>
          <w:p w:rsidR="006B6129" w:rsidRDefault="006B6129" w:rsidP="000D1A4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全国平均(ｇ)</w:t>
            </w:r>
          </w:p>
        </w:tc>
        <w:tc>
          <w:tcPr>
            <w:tcW w:w="1127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918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 901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 w:rsidP="000D1A4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岡山県平均(ｇ)</w:t>
            </w:r>
          </w:p>
        </w:tc>
        <w:tc>
          <w:tcPr>
            <w:tcW w:w="1127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1,003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931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 w:rsidP="000D1A4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⑬資源化量(ｔ)</w:t>
            </w:r>
          </w:p>
        </w:tc>
        <w:tc>
          <w:tcPr>
            <w:tcW w:w="1127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5,024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4,893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4,958</w:t>
            </w:r>
          </w:p>
        </w:tc>
      </w:tr>
      <w:tr w:rsidR="006B6129" w:rsidTr="006B6129">
        <w:trPr>
          <w:trHeight w:val="528"/>
        </w:trPr>
        <w:tc>
          <w:tcPr>
            <w:tcW w:w="2701" w:type="dxa"/>
            <w:vAlign w:val="center"/>
          </w:tcPr>
          <w:p w:rsidR="006B6129" w:rsidRDefault="006B6129" w:rsidP="000D1A4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⑭資源化量合計(ｔ)</w:t>
            </w:r>
          </w:p>
          <w:p w:rsidR="006B6129" w:rsidRDefault="006B6129" w:rsidP="000D1A49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（⑧＋⑬）</w:t>
            </w:r>
          </w:p>
        </w:tc>
        <w:tc>
          <w:tcPr>
            <w:tcW w:w="1127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6,610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6,012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6,105</w:t>
            </w:r>
          </w:p>
        </w:tc>
      </w:tr>
      <w:tr w:rsidR="006B6129" w:rsidTr="006B6129">
        <w:trPr>
          <w:trHeight w:val="1303"/>
        </w:trPr>
        <w:tc>
          <w:tcPr>
            <w:tcW w:w="2701" w:type="dxa"/>
            <w:vAlign w:val="center"/>
          </w:tcPr>
          <w:p w:rsidR="006B6129" w:rsidRDefault="006B6129" w:rsidP="000D1A4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⑮資源化率(％)</w:t>
            </w:r>
          </w:p>
          <w:p w:rsidR="006B6129" w:rsidRDefault="006B6129" w:rsidP="000D1A49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～Ｈ26（⑭／⑨×100）</w:t>
            </w:r>
          </w:p>
          <w:p w:rsidR="006B6129" w:rsidRDefault="006B6129" w:rsidP="000D1A49">
            <w:pPr>
              <w:ind w:firstLineChars="100" w:firstLine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Ｈ27～（⑭／⑩×100）</w:t>
            </w:r>
          </w:p>
        </w:tc>
        <w:tc>
          <w:tcPr>
            <w:tcW w:w="1127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19.0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18.3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18.4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 w:rsidP="000D1A4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全国平均</w:t>
            </w:r>
            <w:r>
              <w:rPr>
                <w:rFonts w:ascii="ＭＳ 明朝" w:eastAsia="ＭＳ 明朝" w:hAnsi="ＭＳ 明朝" w:hint="eastAsia"/>
                <w:sz w:val="24"/>
              </w:rPr>
              <w:t>(％)</w:t>
            </w:r>
          </w:p>
        </w:tc>
        <w:tc>
          <w:tcPr>
            <w:tcW w:w="1127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19.6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20.0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  <w:tr w:rsidR="006B6129" w:rsidTr="006B6129">
        <w:trPr>
          <w:trHeight w:val="550"/>
        </w:trPr>
        <w:tc>
          <w:tcPr>
            <w:tcW w:w="2701" w:type="dxa"/>
            <w:vAlign w:val="center"/>
          </w:tcPr>
          <w:p w:rsidR="006B6129" w:rsidRDefault="006B6129" w:rsidP="000D1A49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岡山県平均</w:t>
            </w:r>
            <w:r>
              <w:rPr>
                <w:rFonts w:ascii="ＭＳ 明朝" w:eastAsia="ＭＳ 明朝" w:hAnsi="ＭＳ 明朝" w:hint="eastAsia"/>
                <w:sz w:val="24"/>
              </w:rPr>
              <w:t>(％)</w:t>
            </w:r>
          </w:p>
        </w:tc>
        <w:tc>
          <w:tcPr>
            <w:tcW w:w="1127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29.0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24.6</w:t>
            </w:r>
          </w:p>
        </w:tc>
        <w:tc>
          <w:tcPr>
            <w:tcW w:w="992" w:type="dxa"/>
            <w:vAlign w:val="center"/>
          </w:tcPr>
          <w:p w:rsidR="006B6129" w:rsidRDefault="006B6129" w:rsidP="000D1A49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― </w:t>
            </w:r>
          </w:p>
        </w:tc>
      </w:tr>
    </w:tbl>
    <w:p w:rsidR="00CB4C1D" w:rsidRPr="00551769" w:rsidRDefault="00551769" w:rsidP="00551769">
      <w:pPr>
        <w:ind w:left="240"/>
        <w:rPr>
          <w:rFonts w:ascii="AR P丸ゴシック体M" w:eastAsia="AR P丸ゴシック体M" w:hAnsi="AR P丸ゴシック体M"/>
          <w:sz w:val="28"/>
        </w:rPr>
      </w:pPr>
      <w:r w:rsidRPr="00EB3201">
        <w:rPr>
          <w:rFonts w:asciiTheme="minorEastAsia" w:hAnsiTheme="minorEastAsia" w:hint="eastAsia"/>
          <w:sz w:val="28"/>
          <w:szCs w:val="28"/>
        </w:rPr>
        <w:lastRenderedPageBreak/>
        <w:t>（２）</w:t>
      </w:r>
      <w:r w:rsidR="00A11AF6" w:rsidRPr="00551769">
        <w:rPr>
          <w:rFonts w:ascii="AR P丸ゴシック体M" w:eastAsia="AR P丸ゴシック体M" w:hAnsi="AR P丸ゴシック体M" w:hint="eastAsia"/>
          <w:sz w:val="28"/>
        </w:rPr>
        <w:t xml:space="preserve">　ごみ搬入量</w:t>
      </w:r>
    </w:p>
    <w:p w:rsidR="00CB4C1D" w:rsidRDefault="00A11AF6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家庭系ごみ搬入量（集団回収量を除く）</w:t>
      </w:r>
    </w:p>
    <w:p w:rsidR="00CB4C1D" w:rsidRDefault="00A11AF6">
      <w:pPr>
        <w:ind w:leftChars="-67" w:left="-141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w:drawing>
          <wp:inline distT="0" distB="0" distL="0" distR="0">
            <wp:extent cx="5676900" cy="3600450"/>
            <wp:effectExtent l="0" t="0" r="0" b="0"/>
            <wp:docPr id="1029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（注）1 H26、27は小型家電処理量を含まない</w:t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（注）2 H30は災害ごみ量を含まない</w:t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A11AF6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事業系ごみ搬入量</w:t>
      </w:r>
    </w:p>
    <w:p w:rsidR="00CB4C1D" w:rsidRDefault="00A11AF6">
      <w:pPr>
        <w:ind w:leftChars="-67" w:left="-141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w:drawing>
          <wp:inline distT="0" distB="0" distL="0" distR="0">
            <wp:extent cx="5657850" cy="3790950"/>
            <wp:effectExtent l="0" t="0" r="0" b="0"/>
            <wp:docPr id="1030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（注）1 粗大ごみ、資源ごみ、不燃ごみは少量のためグラフでは処理量を数値で表示していない</w:t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（注）2 H30は災害ごみ量を含まない</w:t>
      </w:r>
    </w:p>
    <w:p w:rsidR="00CB4C1D" w:rsidRDefault="00A11AF6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lastRenderedPageBreak/>
        <w:t>合計ごみ搬入量</w:t>
      </w:r>
      <w:r>
        <w:rPr>
          <w:rFonts w:ascii="ＭＳ 明朝" w:eastAsia="ＭＳ 明朝" w:hAnsi="ＭＳ 明朝" w:hint="eastAsia"/>
          <w:sz w:val="24"/>
        </w:rPr>
        <w:t>（集団回収量を除く）</w:t>
      </w:r>
    </w:p>
    <w:p w:rsidR="00CB4C1D" w:rsidRDefault="00A11AF6">
      <w:pPr>
        <w:ind w:leftChars="-67" w:left="-141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w:drawing>
          <wp:inline distT="0" distB="0" distL="0" distR="0">
            <wp:extent cx="5657850" cy="4638675"/>
            <wp:effectExtent l="0" t="0" r="0" b="9525"/>
            <wp:docPr id="1031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（注）1 H26、27は小型家電処理量を含まない</w:t>
      </w:r>
    </w:p>
    <w:p w:rsidR="00CB4C1D" w:rsidRDefault="00A11AF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（注）2 H30は災害ごみ量を含まない</w:t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Pr="00551769" w:rsidRDefault="00EB3201" w:rsidP="00551769">
      <w:pPr>
        <w:ind w:left="240"/>
        <w:rPr>
          <w:rFonts w:ascii="AR P丸ゴシック体M" w:eastAsia="AR P丸ゴシック体M" w:hAnsi="AR P丸ゴシック体M"/>
          <w:sz w:val="28"/>
        </w:rPr>
      </w:pPr>
      <w:r w:rsidRPr="00EB3201">
        <w:rPr>
          <w:rFonts w:ascii="ＭＳ 明朝" w:eastAsia="ＭＳ 明朝" w:hAnsi="ＭＳ 明朝" w:hint="eastAsia"/>
          <w:sz w:val="28"/>
          <w:szCs w:val="28"/>
        </w:rPr>
        <w:t>（３）</w:t>
      </w:r>
      <w:r w:rsidR="00A11AF6" w:rsidRPr="00551769">
        <w:rPr>
          <w:rFonts w:ascii="ＭＳ 明朝" w:eastAsia="ＭＳ 明朝" w:hAnsi="ＭＳ 明朝" w:hint="eastAsia"/>
          <w:sz w:val="28"/>
        </w:rPr>
        <w:t xml:space="preserve">　</w:t>
      </w:r>
      <w:r w:rsidR="00A11AF6" w:rsidRPr="00551769">
        <w:rPr>
          <w:rFonts w:ascii="AR P丸ゴシック体M" w:eastAsia="AR P丸ゴシック体M" w:hAnsi="AR P丸ゴシック体M" w:hint="eastAsia"/>
          <w:sz w:val="28"/>
        </w:rPr>
        <w:t>集団回収量</w:t>
      </w:r>
    </w:p>
    <w:p w:rsidR="00CB4C1D" w:rsidRDefault="00A11AF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w:drawing>
          <wp:inline distT="0" distB="0" distL="0" distR="0">
            <wp:extent cx="5562600" cy="2695575"/>
            <wp:effectExtent l="0" t="0" r="0" b="9525"/>
            <wp:docPr id="1032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p w:rsidR="00CB4C1D" w:rsidRDefault="00CB4C1D">
      <w:pPr>
        <w:rPr>
          <w:rFonts w:ascii="AR P丸ゴシック体M" w:eastAsia="AR P丸ゴシック体M" w:hAnsi="AR P丸ゴシック体M"/>
          <w:sz w:val="24"/>
        </w:rPr>
      </w:pPr>
    </w:p>
    <w:sectPr w:rsidR="00CB4C1D">
      <w:pgSz w:w="11906" w:h="16838"/>
      <w:pgMar w:top="851" w:right="1418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FC" w:rsidRDefault="00A11AF6">
      <w:r>
        <w:separator/>
      </w:r>
    </w:p>
  </w:endnote>
  <w:endnote w:type="continuationSeparator" w:id="0">
    <w:p w:rsidR="00AF2BFC" w:rsidRDefault="00A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FC" w:rsidRDefault="00A11AF6">
      <w:r>
        <w:separator/>
      </w:r>
    </w:p>
  </w:footnote>
  <w:footnote w:type="continuationSeparator" w:id="0">
    <w:p w:rsidR="00AF2BFC" w:rsidRDefault="00A1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C5C5A5A"/>
    <w:lvl w:ilvl="0" w:tplc="B9EC4BC8">
      <w:start w:val="2"/>
      <w:numFmt w:val="decimalEnclosedParen"/>
      <w:lvlText w:val="%1"/>
      <w:lvlJc w:val="left"/>
      <w:pPr>
        <w:ind w:left="600" w:hanging="360"/>
      </w:pPr>
      <w:rPr>
        <w:rFonts w:hint="default"/>
        <w:sz w:val="32"/>
        <w:szCs w:val="32"/>
      </w:rPr>
    </w:lvl>
    <w:lvl w:ilvl="1" w:tplc="34FE7540">
      <w:start w:val="1"/>
      <w:numFmt w:val="decimalEnclosedCircle"/>
      <w:lvlText w:val="%2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B4C1D"/>
    <w:rsid w:val="00084807"/>
    <w:rsid w:val="000D1A49"/>
    <w:rsid w:val="001232A3"/>
    <w:rsid w:val="00551769"/>
    <w:rsid w:val="006B6129"/>
    <w:rsid w:val="007D4065"/>
    <w:rsid w:val="00885F64"/>
    <w:rsid w:val="00A11AF6"/>
    <w:rsid w:val="00A84883"/>
    <w:rsid w:val="00AA16CA"/>
    <w:rsid w:val="00AF2BFC"/>
    <w:rsid w:val="00C94F39"/>
    <w:rsid w:val="00CB4C1D"/>
    <w:rsid w:val="00D0615B"/>
    <w:rsid w:val="00E056E8"/>
    <w:rsid w:val="00E9667A"/>
    <w:rsid w:val="00E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EA1F9"/>
  <w15:chartTrackingRefBased/>
  <w15:docId w15:val="{7BEC18E8-554C-4BD0-B0DE-45889077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4555163363199E-2"/>
          <c:y val="0.1629984251968504"/>
          <c:w val="0.89393406312015877"/>
          <c:h val="0.50258813648293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①!$C$1</c:f>
              <c:strCache>
                <c:ptCount val="1"/>
                <c:pt idx="0">
                  <c:v>1人１日当たりのごみの排出量</c:v>
                </c:pt>
              </c:strCache>
            </c:strRef>
          </c:tx>
          <c:spPr>
            <a:solidFill>
              <a:srgbClr val="0593EB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B7F-4649-BFAC-FE7BD6841D7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B7F-4649-BFAC-FE7BD6841D7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B7F-4649-BFAC-FE7BD6841D7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B7F-4649-BFAC-FE7BD6841D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B7F-4649-BFAC-FE7BD6841D7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B7F-4649-BFAC-FE7BD6841D7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B7F-4649-BFAC-FE7BD6841D7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A-0B7F-4649-BFAC-FE7BD6841D7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A-7123-401B-9D57-A1252952EC8B}"/>
              </c:ext>
            </c:extLst>
          </c:dPt>
          <c:dLbls>
            <c:dLbl>
              <c:idx val="0"/>
              <c:layout>
                <c:manualLayout>
                  <c:x val="0"/>
                  <c:y val="1.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0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B7F-4649-BFAC-FE7BD6841D7F}"/>
                </c:ext>
              </c:extLst>
            </c:dLbl>
            <c:dLbl>
              <c:idx val="1"/>
              <c:layout>
                <c:manualLayout>
                  <c:x val="0"/>
                  <c:y val="3.2000000000000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0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7F-4649-BFAC-FE7BD6841D7F}"/>
                </c:ext>
              </c:extLst>
            </c:dLbl>
            <c:dLbl>
              <c:idx val="2"/>
              <c:layout>
                <c:manualLayout>
                  <c:x val="0"/>
                  <c:y val="2.66666666666666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0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B7F-4649-BFAC-FE7BD6841D7F}"/>
                </c:ext>
              </c:extLst>
            </c:dLbl>
            <c:dLbl>
              <c:idx val="3"/>
              <c:layout>
                <c:manualLayout>
                  <c:x val="-4.5977011494252873E-3"/>
                  <c:y val="1.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0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7F-4649-BFAC-FE7BD6841D7F}"/>
                </c:ext>
              </c:extLst>
            </c:dLbl>
            <c:dLbl>
              <c:idx val="4"/>
              <c:layout>
                <c:manualLayout>
                  <c:x val="0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0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B7F-4649-BFAC-FE7BD6841D7F}"/>
                </c:ext>
              </c:extLst>
            </c:dLbl>
            <c:dLbl>
              <c:idx val="5"/>
              <c:layout>
                <c:manualLayout>
                  <c:x val="-8.4290214011718579E-17"/>
                  <c:y val="1.06666666666666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0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B7F-4649-BFAC-FE7BD6841D7F}"/>
                </c:ext>
              </c:extLst>
            </c:dLbl>
            <c:dLbl>
              <c:idx val="7"/>
              <c:layout>
                <c:manualLayout>
                  <c:x val="0"/>
                  <c:y val="2.66666666666666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0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B7F-4649-BFAC-FE7BD6841D7F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5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0B7F-4649-BFAC-FE7BD6841D7F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horzOverflow="overflow"/>
                <a:lstStyle/>
                <a:p>
                  <a:pPr>
                    <a:defRPr sz="1050" b="1">
                      <a:solidFill>
                        <a:schemeClr val="tx1"/>
                      </a:solidFill>
                      <a:latin typeface="AR P丸ゴシック体M"/>
                      <a:ea typeface="AR P丸ゴシック体M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123-401B-9D57-A1252952EC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horzOverflow="overflow" anchor="ctr" anchorCtr="1"/>
              <a:lstStyle/>
              <a:p>
                <a:pPr algn="ctr" rtl="0">
                  <a:defRPr sz="1050" b="1">
                    <a:solidFill>
                      <a:schemeClr val="tx1"/>
                    </a:solidFill>
                    <a:latin typeface="AR P丸ゴシック体M"/>
                    <a:ea typeface="AR P丸ゴシック体M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①!$B$2:$B$12</c:f>
              <c:strCache>
                <c:ptCount val="11"/>
                <c:pt idx="0">
                  <c:v>H26</c:v>
                </c:pt>
                <c:pt idx="1">
                  <c:v>H27
基準年度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9">
                  <c:v>R3
中間目標  </c:v>
                </c:pt>
                <c:pt idx="10">
                  <c:v>R7
最終目標</c:v>
                </c:pt>
              </c:strCache>
            </c:strRef>
          </c:cat>
          <c:val>
            <c:numRef>
              <c:f>①!$C$2:$C$12</c:f>
              <c:numCache>
                <c:formatCode>General</c:formatCode>
                <c:ptCount val="11"/>
                <c:pt idx="0">
                  <c:v>899</c:v>
                </c:pt>
                <c:pt idx="1">
                  <c:v>906</c:v>
                </c:pt>
                <c:pt idx="2">
                  <c:v>883</c:v>
                </c:pt>
                <c:pt idx="3">
                  <c:v>902</c:v>
                </c:pt>
                <c:pt idx="4">
                  <c:v>889</c:v>
                </c:pt>
                <c:pt idx="5">
                  <c:v>939</c:v>
                </c:pt>
                <c:pt idx="6">
                  <c:v>910</c:v>
                </c:pt>
                <c:pt idx="7">
                  <c:v>911</c:v>
                </c:pt>
                <c:pt idx="9">
                  <c:v>886</c:v>
                </c:pt>
                <c:pt idx="10">
                  <c:v>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B7F-4649-BFAC-FE7BD6841D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  <c:min val="840"/>
        </c:scaling>
        <c:delete val="0"/>
        <c:axPos val="l"/>
        <c:majorGridlines/>
        <c:title>
          <c:tx>
            <c:rich>
              <a:bodyPr rot="0" horzOverflow="overflow" anchor="ctr" anchorCtr="0"/>
              <a:lstStyle/>
              <a:p>
                <a:pPr algn="ctr" rtl="0">
                  <a:defRPr sz="1000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defRPr>
                </a:pPr>
                <a:r>
                  <a:rPr lang="ja-JP" altLang="en-US" sz="900" b="0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（ｇ</a:t>
                </a:r>
                <a:r>
                  <a:rPr lang="en-US" altLang="ja-JP" sz="900" b="0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/</a:t>
                </a:r>
                <a:r>
                  <a:rPr lang="ja-JP" altLang="en-US" sz="900" b="0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人日）</a:t>
                </a:r>
                <a:endParaRPr lang="ja-JP" altLang="en-US" sz="1000" b="1" i="0" u="none" strike="noStrike" baseline="0">
                  <a:solidFill>
                    <a:schemeClr val="tx1"/>
                  </a:solidFill>
                  <a:latin typeface="AR P丸ゴシック体M"/>
                  <a:ea typeface="AR P丸ゴシック体M"/>
                </a:endParaRPr>
              </a:p>
            </c:rich>
          </c:tx>
          <c:layout>
            <c:manualLayout>
              <c:xMode val="edge"/>
              <c:yMode val="edge"/>
              <c:x val="1.6908785278244715E-2"/>
              <c:y val="2.9470656167979004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horzOverflow="overflow" anchor="ctr" anchorCtr="1"/>
          <a:lstStyle/>
          <a:p>
            <a:pPr algn="ctr" rtl="0">
              <a:defRPr sz="1000">
                <a:solidFill>
                  <a:schemeClr val="tx1"/>
                </a:solidFill>
                <a:latin typeface="AR P丸ゴシック体M"/>
                <a:ea typeface="AR P丸ゴシック体M"/>
              </a:defRPr>
            </a:pPr>
            <a:endParaRPr lang="ja-JP"/>
          </a:p>
        </c:txPr>
        <c:crossAx val="1"/>
        <c:crosses val="autoZero"/>
        <c:crossBetween val="between"/>
      </c:valAx>
    </c:plotArea>
    <c:plotVisOnly val="1"/>
    <c:dispBlanksAs val="gap"/>
    <c:showDLblsOverMax val="0"/>
  </c:chart>
  <c:txPr>
    <a:bodyPr anchor="ctr" anchorCtr="1"/>
    <a:lstStyle/>
    <a:p>
      <a:pPr algn="ctr" rtl="0">
        <a:defRPr lang="ja-JP" altLang="en-US" sz="1000">
          <a:solidFill>
            <a:schemeClr val="tx1"/>
          </a:solidFill>
        </a:defRPr>
      </a:pPr>
      <a:endParaRPr lang="ja-JP"/>
    </a:p>
  </c:txPr>
  <c:externalData r:id="rId1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508700810304458E-2"/>
          <c:y val="0.22696278349821652"/>
          <c:w val="0.89326737299198855"/>
          <c:h val="0.4861875114447903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リサイクル率</c:v>
                </c:pt>
              </c:strCache>
            </c:strRef>
          </c:tx>
          <c:spPr>
            <a:ln>
              <a:solidFill>
                <a:srgbClr val="FF7C80"/>
              </a:solidFill>
            </a:ln>
          </c:spPr>
          <c:marker>
            <c:spPr>
              <a:solidFill>
                <a:srgbClr val="FF3300"/>
              </a:solidFill>
            </c:spPr>
          </c:marker>
          <c:dPt>
            <c:idx val="9"/>
            <c:marker>
              <c:spPr>
                <a:solidFill>
                  <a:schemeClr val="accent6">
                    <a:lumMod val="60000"/>
                    <a:lumOff val="40000"/>
                  </a:schemeClr>
                </a:solidFill>
              </c:spPr>
            </c:marker>
            <c:bubble3D val="0"/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9C0-47EE-ACBC-E2A6F0166BE6}"/>
              </c:ext>
            </c:extLst>
          </c:dPt>
          <c:dPt>
            <c:idx val="10"/>
            <c:marker>
              <c:spPr>
                <a:solidFill>
                  <a:schemeClr val="accent6">
                    <a:lumMod val="60000"/>
                    <a:lumOff val="40000"/>
                  </a:schemeClr>
                </a:solidFill>
              </c:spPr>
            </c:marker>
            <c:bubble3D val="0"/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2FD-4DE7-BE76-67BAF6BDB5B4}"/>
              </c:ext>
            </c:extLst>
          </c:dPt>
          <c:dLbls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9C0-47EE-ACBC-E2A6F0166BE6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2FD-4DE7-BE76-67BAF6BDB5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H26</c:v>
                </c:pt>
                <c:pt idx="1">
                  <c:v>H27
基準年度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9">
                  <c:v>R3
中間目標  </c:v>
                </c:pt>
                <c:pt idx="10">
                  <c:v>R7
最終目標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29.9</c:v>
                </c:pt>
                <c:pt idx="1">
                  <c:v>25.1</c:v>
                </c:pt>
                <c:pt idx="2">
                  <c:v>21.1</c:v>
                </c:pt>
                <c:pt idx="3">
                  <c:v>20.6</c:v>
                </c:pt>
                <c:pt idx="4">
                  <c:v>20.2</c:v>
                </c:pt>
                <c:pt idx="5">
                  <c:v>19</c:v>
                </c:pt>
                <c:pt idx="6">
                  <c:v>18.3</c:v>
                </c:pt>
                <c:pt idx="7">
                  <c:v>18.399999999999999</c:v>
                </c:pt>
                <c:pt idx="9">
                  <c:v>30</c:v>
                </c:pt>
                <c:pt idx="10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9C0-47EE-ACBC-E2A6F0166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"/>
        <c:axId val="2"/>
      </c:lineChart>
      <c:catAx>
        <c:axId val="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800" baseline="0">
                <a:solidFill>
                  <a:schemeClr val="tx1"/>
                </a:solidFill>
              </a:defRPr>
            </a:pPr>
            <a:endParaRPr lang="ja-JP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  <c:min val="15"/>
        </c:scaling>
        <c:delete val="0"/>
        <c:axPos val="l"/>
        <c:majorGridlines/>
        <c:title>
          <c:tx>
            <c:rich>
              <a:bodyPr rot="0" horzOverflow="overflow" anchor="ctr" anchorCtr="1"/>
              <a:lstStyle/>
              <a:p>
                <a:pPr algn="ctr" rtl="0">
                  <a:defRPr sz="1000" i="0" u="none" strike="noStrike" baseline="0">
                    <a:solidFill>
                      <a:schemeClr val="tx1"/>
                    </a:solidFill>
                  </a:defRPr>
                </a:pPr>
                <a:r>
                  <a:rPr lang="en-US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(</a:t>
                </a:r>
                <a:r>
                  <a:rPr lang="ja-JP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％</a:t>
                </a:r>
                <a:r>
                  <a:rPr lang="en-US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)</a:t>
                </a:r>
                <a:endParaRPr lang="ja-JP" altLang="en-US" sz="1000" b="1" i="0" u="none" strike="noStrike" baseline="0">
                  <a:solidFill>
                    <a:schemeClr val="tx1"/>
                  </a:solidFill>
                  <a:latin typeface="AR P丸ゴシック体M"/>
                  <a:ea typeface="AR P丸ゴシック体M"/>
                </a:endParaRPr>
              </a:p>
            </c:rich>
          </c:tx>
          <c:layout>
            <c:manualLayout>
              <c:xMode val="edge"/>
              <c:yMode val="edge"/>
              <c:x val="1.1574121416641102E-2"/>
              <c:y val="0.13773728865287188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1"/>
        <c:crosses val="autoZero"/>
        <c:crossBetween val="between"/>
        <c:majorUnit val="5"/>
      </c:valAx>
    </c:plotArea>
    <c:plotVisOnly val="1"/>
    <c:dispBlanksAs val="gap"/>
    <c:showDLblsOverMax val="0"/>
  </c:chart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  <a:latin typeface="AR P丸ゴシック体M"/>
          <a:ea typeface="AR P丸ゴシック体M"/>
        </a:defRPr>
      </a:pPr>
      <a:endParaRPr lang="ja-JP"/>
    </a:p>
  </c:txPr>
  <c:externalData r:id="rId1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066871891417447E-2"/>
          <c:y val="0.16925885334996937"/>
          <c:w val="0.88064959569876056"/>
          <c:h val="0.652661274483546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①!$C$1</c:f>
              <c:strCache>
                <c:ptCount val="1"/>
                <c:pt idx="0">
                  <c:v>出前講座年間参加者数</c:v>
                </c:pt>
              </c:strCache>
            </c:strRef>
          </c:tx>
          <c:spPr>
            <a:solidFill>
              <a:srgbClr val="19A701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815-4EAE-8A92-248FD7C0E43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815-4EAE-8A92-248FD7C0E43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815-4EAE-8A92-248FD7C0E43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815-4EAE-8A92-248FD7C0E43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815-4EAE-8A92-248FD7C0E43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815-4EAE-8A92-248FD7C0E43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D815-4EAE-8A92-248FD7C0E43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8915-4310-BAA8-67D137CDC0FF}"/>
              </c:ext>
            </c:extLst>
          </c:dPt>
          <c:dLbls>
            <c:dLbl>
              <c:idx val="0"/>
              <c:layout>
                <c:manualLayout>
                  <c:x val="0"/>
                  <c:y val="1.20937263794406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15-4EAE-8A92-248FD7C0E435}"/>
                </c:ext>
              </c:extLst>
            </c:dLbl>
            <c:dLbl>
              <c:idx val="2"/>
              <c:layout>
                <c:manualLayout>
                  <c:x val="0"/>
                  <c:y val="9.070294784580443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15-4EAE-8A92-248FD7C0E435}"/>
                </c:ext>
              </c:extLst>
            </c:dLbl>
            <c:dLbl>
              <c:idx val="3"/>
              <c:layout>
                <c:manualLayout>
                  <c:x val="0"/>
                  <c:y val="1.20937263794406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15-4EAE-8A92-248FD7C0E435}"/>
                </c:ext>
              </c:extLst>
            </c:dLbl>
            <c:dLbl>
              <c:idx val="4"/>
              <c:layout>
                <c:manualLayout>
                  <c:x val="0"/>
                  <c:y val="1.20937263794406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815-4EAE-8A92-248FD7C0E435}"/>
                </c:ext>
              </c:extLst>
            </c:dLbl>
            <c:dLbl>
              <c:idx val="5"/>
              <c:layout>
                <c:manualLayout>
                  <c:x val="0"/>
                  <c:y val="1.20937263794406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815-4EAE-8A92-248FD7C0E435}"/>
                </c:ext>
              </c:extLst>
            </c:dLbl>
            <c:dLbl>
              <c:idx val="7"/>
              <c:layout>
                <c:manualLayout>
                  <c:x val="0"/>
                  <c:y val="1.51171579743008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815-4EAE-8A92-248FD7C0E435}"/>
                </c:ext>
              </c:extLst>
            </c:dLbl>
            <c:dLbl>
              <c:idx val="9"/>
              <c:layout>
                <c:manualLayout>
                  <c:x val="-2.3269342641070389E-3"/>
                  <c:y val="1.51171579743008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815-4EAE-8A92-248FD7C0E435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915-4310-BAA8-67D137CDC0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①!$B$2:$B$12</c:f>
              <c:strCache>
                <c:ptCount val="11"/>
                <c:pt idx="0">
                  <c:v>H26
基準年度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  <c:pt idx="9">
                  <c:v>R3
中間目標  </c:v>
                </c:pt>
                <c:pt idx="10">
                  <c:v>R7
最終目標</c:v>
                </c:pt>
              </c:strCache>
            </c:strRef>
          </c:cat>
          <c:val>
            <c:numRef>
              <c:f>①!$C$2:$C$12</c:f>
              <c:numCache>
                <c:formatCode>#,##0_ </c:formatCode>
                <c:ptCount val="11"/>
                <c:pt idx="0">
                  <c:v>180</c:v>
                </c:pt>
                <c:pt idx="1">
                  <c:v>3903</c:v>
                </c:pt>
                <c:pt idx="2">
                  <c:v>1999</c:v>
                </c:pt>
                <c:pt idx="3">
                  <c:v>252</c:v>
                </c:pt>
                <c:pt idx="4">
                  <c:v>192</c:v>
                </c:pt>
                <c:pt idx="5">
                  <c:v>103</c:v>
                </c:pt>
                <c:pt idx="6">
                  <c:v>5</c:v>
                </c:pt>
                <c:pt idx="7">
                  <c:v>84</c:v>
                </c:pt>
                <c:pt idx="9">
                  <c:v>252</c:v>
                </c:pt>
                <c:pt idx="10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15-4EAE-8A92-248FD7C0E4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anchor="ctr" anchorCtr="1"/>
          <a:lstStyle/>
          <a:p>
            <a:pPr algn="ctr" rtl="0">
              <a:defRPr sz="800" baseline="0">
                <a:solidFill>
                  <a:schemeClr val="tx1"/>
                </a:solidFill>
              </a:defRPr>
            </a:pPr>
            <a:endParaRPr lang="ja-JP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  <c:max val="4000"/>
        </c:scaling>
        <c:delete val="0"/>
        <c:axPos val="l"/>
        <c:majorGridlines/>
        <c:title>
          <c:tx>
            <c:rich>
              <a:bodyPr rot="0" horzOverflow="overflow" anchor="ctr" anchorCtr="1"/>
              <a:lstStyle/>
              <a:p>
                <a:pPr algn="ctr" rtl="0">
                  <a:defRPr sz="1000" i="0" u="none" strike="noStrike" baseline="0">
                    <a:solidFill>
                      <a:schemeClr val="tx1"/>
                    </a:solidFill>
                  </a:defRPr>
                </a:pPr>
                <a:r>
                  <a:rPr lang="ja-JP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（人）</a:t>
                </a:r>
              </a:p>
            </c:rich>
          </c:tx>
          <c:layout>
            <c:manualLayout>
              <c:xMode val="edge"/>
              <c:yMode val="edge"/>
              <c:x val="1.2228681430976216E-4"/>
              <c:y val="7.7471030406913416E-2"/>
            </c:manualLayout>
          </c:layout>
          <c:overlay val="0"/>
        </c:title>
        <c:numFmt formatCode="#,##0_ " sourceLinked="1"/>
        <c:majorTickMark val="none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1"/>
        <c:crosses val="autoZero"/>
        <c:crossBetween val="between"/>
      </c:valAx>
    </c:plotArea>
    <c:plotVisOnly val="1"/>
    <c:dispBlanksAs val="gap"/>
    <c:showDLblsOverMax val="0"/>
  </c:chart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  <a:latin typeface="AR P丸ゴシック体M"/>
          <a:ea typeface="AR P丸ゴシック体M"/>
        </a:defRPr>
      </a:pPr>
      <a:endParaRPr lang="ja-JP"/>
    </a:p>
  </c:txPr>
  <c:externalData r:id="rId1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8845873432487"/>
          <c:y val="0.15901098901098901"/>
          <c:w val="0.8497719355328518"/>
          <c:h val="0.589895350484788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可燃ごみ</c:v>
                </c:pt>
              </c:strCache>
            </c:strRef>
          </c:tx>
          <c:spPr>
            <a:solidFill>
              <a:srgbClr val="2EB4F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Sheet1!$B$2:$B$9</c:f>
              <c:numCache>
                <c:formatCode>#,##0_ </c:formatCode>
                <c:ptCount val="8"/>
                <c:pt idx="0">
                  <c:v>15325</c:v>
                </c:pt>
                <c:pt idx="1">
                  <c:v>14771</c:v>
                </c:pt>
                <c:pt idx="2">
                  <c:v>13478</c:v>
                </c:pt>
                <c:pt idx="3">
                  <c:v>13911</c:v>
                </c:pt>
                <c:pt idx="4">
                  <c:v>13824</c:v>
                </c:pt>
                <c:pt idx="5">
                  <c:v>14275</c:v>
                </c:pt>
                <c:pt idx="6">
                  <c:v>14317</c:v>
                </c:pt>
                <c:pt idx="7">
                  <c:v>13781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D-4CFA-AED1-735C498F1B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不燃ごみ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Sheet1!$C$2:$C$9</c:f>
              <c:numCache>
                <c:formatCode>#,##0_ </c:formatCode>
                <c:ptCount val="8"/>
                <c:pt idx="0">
                  <c:v>1407</c:v>
                </c:pt>
                <c:pt idx="1">
                  <c:v>1468</c:v>
                </c:pt>
                <c:pt idx="2">
                  <c:v>757</c:v>
                </c:pt>
                <c:pt idx="3">
                  <c:v>617</c:v>
                </c:pt>
                <c:pt idx="4">
                  <c:v>568</c:v>
                </c:pt>
                <c:pt idx="5">
                  <c:v>557</c:v>
                </c:pt>
                <c:pt idx="6">
                  <c:v>594</c:v>
                </c:pt>
                <c:pt idx="7">
                  <c:v>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AD-4CFA-AED1-735C498F1BD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資源ごみ</c:v>
                </c:pt>
              </c:strCache>
            </c:strRef>
          </c:tx>
          <c:spPr>
            <a:solidFill>
              <a:srgbClr val="66FF99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7AD-4CFA-AED1-735C498F1BD4}"/>
              </c:ext>
            </c:extLst>
          </c:dPt>
          <c:dLbls>
            <c:dLbl>
              <c:idx val="1"/>
              <c:layout>
                <c:manualLayout>
                  <c:x val="-1.7764276931449087E-7"/>
                  <c:y val="7.05467372134035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AD-4CFA-AED1-735C498F1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Sheet1!$D$2:$D$9</c:f>
              <c:numCache>
                <c:formatCode>#,##0_ </c:formatCode>
                <c:ptCount val="8"/>
                <c:pt idx="0">
                  <c:v>2552</c:v>
                </c:pt>
                <c:pt idx="1">
                  <c:v>2621</c:v>
                </c:pt>
                <c:pt idx="2">
                  <c:v>2745</c:v>
                </c:pt>
                <c:pt idx="3">
                  <c:v>2562</c:v>
                </c:pt>
                <c:pt idx="4">
                  <c:v>2270</c:v>
                </c:pt>
                <c:pt idx="5">
                  <c:v>2152</c:v>
                </c:pt>
                <c:pt idx="6">
                  <c:v>2085</c:v>
                </c:pt>
                <c:pt idx="7">
                  <c:v>2042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AD-4CFA-AED1-735C498F1BD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粗大ごみ</c:v>
                </c:pt>
              </c:strCache>
            </c:strRef>
          </c:tx>
          <c:spPr>
            <a:solidFill>
              <a:srgbClr val="FFD13F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7AD-4CFA-AED1-735C498F1BD4}"/>
              </c:ext>
            </c:extLst>
          </c:dPt>
          <c:dLbls>
            <c:dLbl>
              <c:idx val="1"/>
              <c:layout>
                <c:manualLayout>
                  <c:x val="0"/>
                  <c:y val="-7.05495146440028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7AD-4CFA-AED1-735C498F1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Sheet1!$E$2:$E$9</c:f>
              <c:numCache>
                <c:formatCode>#,##0_ </c:formatCode>
                <c:ptCount val="8"/>
                <c:pt idx="0">
                  <c:v>454</c:v>
                </c:pt>
                <c:pt idx="1">
                  <c:v>571</c:v>
                </c:pt>
                <c:pt idx="2">
                  <c:v>853</c:v>
                </c:pt>
                <c:pt idx="3">
                  <c:v>928</c:v>
                </c:pt>
                <c:pt idx="4">
                  <c:v>1154</c:v>
                </c:pt>
                <c:pt idx="5">
                  <c:v>1514</c:v>
                </c:pt>
                <c:pt idx="6">
                  <c:v>1855</c:v>
                </c:pt>
                <c:pt idx="7">
                  <c:v>1921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AD-4CFA-AED1-735C498F1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  <c:max val="20000"/>
        </c:scaling>
        <c:delete val="0"/>
        <c:axPos val="l"/>
        <c:majorGridlines/>
        <c:title>
          <c:tx>
            <c:rich>
              <a:bodyPr rot="0" horzOverflow="overflow" anchor="ctr" anchorCtr="1"/>
              <a:lstStyle/>
              <a:p>
                <a:pPr algn="ctr" rtl="0">
                  <a:defRPr sz="1000" i="0" u="none" strike="noStrike" baseline="0">
                    <a:solidFill>
                      <a:schemeClr val="tx1"/>
                    </a:solidFill>
                  </a:defRPr>
                </a:pPr>
                <a:r>
                  <a:rPr lang="en-US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(t)</a:t>
                </a:r>
                <a:endParaRPr lang="ja-JP" altLang="en-US" sz="1000" b="1" i="0" u="none" strike="noStrike" baseline="0">
                  <a:solidFill>
                    <a:schemeClr val="tx1"/>
                  </a:solidFill>
                  <a:latin typeface="AR P丸ゴシック体M"/>
                  <a:ea typeface="AR P丸ゴシック体M"/>
                </a:endParaRPr>
              </a:p>
            </c:rich>
          </c:tx>
          <c:layout>
            <c:manualLayout>
              <c:xMode val="edge"/>
              <c:yMode val="edge"/>
              <c:x val="6.9444393830936424E-2"/>
              <c:y val="6.6504742462747707E-2"/>
            </c:manualLayout>
          </c:layout>
          <c:overlay val="0"/>
        </c:title>
        <c:numFmt formatCode="#,##0_ " sourceLinked="1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1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284848484848485"/>
          <c:y val="0.89223985890652557"/>
          <c:w val="0.80103581267217627"/>
          <c:h val="7.6190476190476211E-2"/>
        </c:manualLayout>
      </c:layout>
      <c:overlay val="0"/>
      <c:txPr>
        <a:bodyPr anchor="ctr" anchorCtr="1"/>
        <a:lstStyle/>
        <a:p>
          <a:pPr algn="l" rtl="0">
            <a:defRPr sz="1000">
              <a:solidFill>
                <a:schemeClr val="tx1"/>
              </a:solidFill>
            </a:defRPr>
          </a:pPr>
          <a:endParaRPr lang="ja-JP"/>
        </a:p>
      </c:txPr>
    </c:legend>
    <c:plotVisOnly val="1"/>
    <c:dispBlanksAs val="gap"/>
    <c:showDLblsOverMax val="0"/>
  </c:chart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  <a:latin typeface="AR P丸ゴシック体M"/>
          <a:ea typeface="AR P丸ゴシック体M"/>
        </a:defRPr>
      </a:pPr>
      <a:endParaRPr lang="ja-JP"/>
    </a:p>
  </c:txPr>
  <c:externalData r:id="rId1">
    <c:autoUpdate val="0"/>
  </c:externalData>
  <c:extLst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8845873432487"/>
          <c:y val="0.11622489959839358"/>
          <c:w val="0.85242901851198949"/>
          <c:h val="0.625271625219509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可燃ごみ</c:v>
                </c:pt>
              </c:strCache>
            </c:strRef>
          </c:tx>
          <c:spPr>
            <a:solidFill>
              <a:srgbClr val="2EB4F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Sheet1!$B$2:$B$9</c:f>
              <c:numCache>
                <c:formatCode>#,##0_ </c:formatCode>
                <c:ptCount val="8"/>
                <c:pt idx="0">
                  <c:v>11181</c:v>
                </c:pt>
                <c:pt idx="1">
                  <c:v>12003</c:v>
                </c:pt>
                <c:pt idx="2">
                  <c:v>12747</c:v>
                </c:pt>
                <c:pt idx="3">
                  <c:v>13366</c:v>
                </c:pt>
                <c:pt idx="4">
                  <c:v>13153</c:v>
                </c:pt>
                <c:pt idx="5">
                  <c:v>14240</c:v>
                </c:pt>
                <c:pt idx="6">
                  <c:v>13094</c:v>
                </c:pt>
                <c:pt idx="7">
                  <c:v>13278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4-4658-827C-63933B0284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不燃ごみ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Sheet1!$C$2:$C$9</c:f>
              <c:numCache>
                <c:formatCode>#,##0_ </c:formatCode>
                <c:ptCount val="8"/>
                <c:pt idx="0">
                  <c:v>57</c:v>
                </c:pt>
                <c:pt idx="1">
                  <c:v>54</c:v>
                </c:pt>
                <c:pt idx="2">
                  <c:v>18</c:v>
                </c:pt>
                <c:pt idx="3">
                  <c:v>11</c:v>
                </c:pt>
                <c:pt idx="4">
                  <c:v>11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84-4658-827C-63933B0284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資源ごみ</c:v>
                </c:pt>
              </c:strCache>
            </c:strRef>
          </c:tx>
          <c:spPr>
            <a:solidFill>
              <a:srgbClr val="26FA49"/>
            </a:solidFill>
          </c:spPr>
          <c:invertIfNegative val="0"/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Sheet1!$D$2:$D$9</c:f>
              <c:numCache>
                <c:formatCode>#,##0_ </c:formatCode>
                <c:ptCount val="8"/>
                <c:pt idx="0">
                  <c:v>194</c:v>
                </c:pt>
                <c:pt idx="1">
                  <c:v>179</c:v>
                </c:pt>
                <c:pt idx="2">
                  <c:v>121</c:v>
                </c:pt>
                <c:pt idx="3">
                  <c:v>112</c:v>
                </c:pt>
                <c:pt idx="4">
                  <c:v>96</c:v>
                </c:pt>
                <c:pt idx="5">
                  <c:v>84</c:v>
                </c:pt>
                <c:pt idx="6">
                  <c:v>79</c:v>
                </c:pt>
                <c:pt idx="7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84-4658-827C-63933B0284A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粗大ごみ</c:v>
                </c:pt>
              </c:strCache>
            </c:strRef>
          </c:tx>
          <c:spPr>
            <a:solidFill>
              <a:srgbClr val="FFD13F"/>
            </a:solidFill>
          </c:spPr>
          <c:invertIfNegative val="0"/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Sheet1!$E$2:$E$9</c:f>
              <c:numCache>
                <c:formatCode>#,##0_ </c:formatCode>
                <c:ptCount val="8"/>
                <c:pt idx="0">
                  <c:v>75</c:v>
                </c:pt>
                <c:pt idx="1">
                  <c:v>43</c:v>
                </c:pt>
                <c:pt idx="2">
                  <c:v>71</c:v>
                </c:pt>
                <c:pt idx="3">
                  <c:v>94</c:v>
                </c:pt>
                <c:pt idx="4">
                  <c:v>100</c:v>
                </c:pt>
                <c:pt idx="5">
                  <c:v>107</c:v>
                </c:pt>
                <c:pt idx="6">
                  <c:v>74</c:v>
                </c:pt>
                <c:pt idx="7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84-4658-827C-63933B028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  <c:max val="20000"/>
        </c:scaling>
        <c:delete val="0"/>
        <c:axPos val="l"/>
        <c:majorGridlines/>
        <c:title>
          <c:tx>
            <c:rich>
              <a:bodyPr rot="0" horzOverflow="overflow" anchor="ctr" anchorCtr="1"/>
              <a:lstStyle/>
              <a:p>
                <a:pPr algn="ctr" rtl="0">
                  <a:defRPr sz="1000" i="0" u="none" strike="noStrike" baseline="0">
                    <a:solidFill>
                      <a:schemeClr val="tx1"/>
                    </a:solidFill>
                  </a:defRPr>
                </a:pPr>
                <a:r>
                  <a:rPr lang="en-US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(t)</a:t>
                </a:r>
                <a:endParaRPr lang="ja-JP" altLang="en-US" sz="1000" b="1" i="0" u="none" strike="noStrike" baseline="0">
                  <a:solidFill>
                    <a:schemeClr val="tx1"/>
                  </a:solidFill>
                  <a:latin typeface="AR P丸ゴシック体M"/>
                  <a:ea typeface="AR P丸ゴシック体M"/>
                </a:endParaRPr>
              </a:p>
            </c:rich>
          </c:tx>
          <c:layout>
            <c:manualLayout>
              <c:xMode val="edge"/>
              <c:yMode val="edge"/>
              <c:x val="7.1759313667881061E-2"/>
              <c:y val="5.1956633561508328E-2"/>
            </c:manualLayout>
          </c:layout>
          <c:overlay val="0"/>
        </c:title>
        <c:numFmt formatCode="#,##0_ " sourceLinked="1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1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670536207849634"/>
          <c:y val="0.87922948073701845"/>
          <c:w val="0.7992703150912106"/>
          <c:h val="7.9061976549413729E-2"/>
        </c:manualLayout>
      </c:layout>
      <c:overlay val="0"/>
      <c:txPr>
        <a:bodyPr anchor="ctr" anchorCtr="1"/>
        <a:lstStyle/>
        <a:p>
          <a:pPr algn="l" rtl="0">
            <a:defRPr sz="1000">
              <a:solidFill>
                <a:schemeClr val="tx1"/>
              </a:solidFill>
            </a:defRPr>
          </a:pPr>
          <a:endParaRPr lang="ja-JP"/>
        </a:p>
      </c:txPr>
    </c:legend>
    <c:plotVisOnly val="1"/>
    <c:dispBlanksAs val="gap"/>
    <c:showDLblsOverMax val="0"/>
  </c:chart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  <a:latin typeface="AR P丸ゴシック体M"/>
          <a:ea typeface="AR P丸ゴシック体M"/>
        </a:defRPr>
      </a:pPr>
      <a:endParaRPr lang="ja-JP"/>
    </a:p>
  </c:txPr>
  <c:externalData r:id="rId1">
    <c:autoUpdate val="0"/>
  </c:externalData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8845873432487"/>
          <c:y val="0.10838951310861424"/>
          <c:w val="0.84345401548424537"/>
          <c:h val="0.6998545125679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事業系</c:v>
                </c:pt>
              </c:strCache>
            </c:strRef>
          </c:tx>
          <c:spPr>
            <a:solidFill>
              <a:srgbClr val="05F9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Sheet1!$B$2:$B$9</c:f>
              <c:numCache>
                <c:formatCode>#,##0_ </c:formatCode>
                <c:ptCount val="8"/>
                <c:pt idx="0">
                  <c:v>11507</c:v>
                </c:pt>
                <c:pt idx="1">
                  <c:v>12279</c:v>
                </c:pt>
                <c:pt idx="2">
                  <c:v>12957</c:v>
                </c:pt>
                <c:pt idx="3">
                  <c:v>13583</c:v>
                </c:pt>
                <c:pt idx="4">
                  <c:v>13360</c:v>
                </c:pt>
                <c:pt idx="5">
                  <c:v>14440</c:v>
                </c:pt>
                <c:pt idx="6">
                  <c:v>13254</c:v>
                </c:pt>
                <c:pt idx="7">
                  <c:v>13544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8-452D-B6D1-72C07E5BCE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家庭系</c:v>
                </c:pt>
              </c:strCache>
            </c:strRef>
          </c:tx>
          <c:spPr>
            <a:solidFill>
              <a:srgbClr val="F9581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Sheet1!$C$2:$C$9</c:f>
              <c:numCache>
                <c:formatCode>#,##0_ </c:formatCode>
                <c:ptCount val="8"/>
                <c:pt idx="0">
                  <c:v>19738</c:v>
                </c:pt>
                <c:pt idx="1">
                  <c:v>19431</c:v>
                </c:pt>
                <c:pt idx="2">
                  <c:v>17833</c:v>
                </c:pt>
                <c:pt idx="3">
                  <c:v>18018</c:v>
                </c:pt>
                <c:pt idx="4">
                  <c:v>17816</c:v>
                </c:pt>
                <c:pt idx="5">
                  <c:v>18498</c:v>
                </c:pt>
                <c:pt idx="6">
                  <c:v>18851</c:v>
                </c:pt>
                <c:pt idx="7">
                  <c:v>18256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F8-452D-B6D1-72C07E5BCE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horzOverflow="overflow" anchor="ctr" anchorCtr="1"/>
              <a:lstStyle/>
              <a:p>
                <a:pPr algn="ctr" rtl="0">
                  <a:defRPr sz="1000" i="0" u="none" strike="noStrike" baseline="0">
                    <a:solidFill>
                      <a:schemeClr val="tx1"/>
                    </a:solidFill>
                  </a:defRPr>
                </a:pPr>
                <a:r>
                  <a:rPr lang="en-US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(t)</a:t>
                </a:r>
                <a:endParaRPr lang="ja-JP" altLang="en-US" sz="1000" b="1" i="0" u="none" strike="noStrike" baseline="0">
                  <a:solidFill>
                    <a:schemeClr val="tx1"/>
                  </a:solidFill>
                  <a:latin typeface="AR P丸ゴシック体M"/>
                  <a:ea typeface="AR P丸ゴシック体M"/>
                </a:endParaRPr>
              </a:p>
            </c:rich>
          </c:tx>
          <c:layout>
            <c:manualLayout>
              <c:xMode val="edge"/>
              <c:yMode val="edge"/>
              <c:x val="7.1759321542093676E-2"/>
              <c:y val="4.2586298889230219E-2"/>
            </c:manualLayout>
          </c:layout>
          <c:overlay val="0"/>
        </c:title>
        <c:numFmt formatCode="#,##0_ " sourceLinked="1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1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581797878280288"/>
          <c:y val="0.90821344457199527"/>
          <c:w val="0.33054159687325513"/>
          <c:h val="5.694729637234771E-2"/>
        </c:manualLayout>
      </c:layout>
      <c:overlay val="0"/>
      <c:txPr>
        <a:bodyPr anchor="ctr" anchorCtr="1"/>
        <a:lstStyle/>
        <a:p>
          <a:pPr algn="l" rtl="0">
            <a:defRPr sz="1000">
              <a:solidFill>
                <a:schemeClr val="tx1"/>
              </a:solidFill>
            </a:defRPr>
          </a:pPr>
          <a:endParaRPr lang="ja-JP"/>
        </a:p>
      </c:txPr>
    </c:legend>
    <c:plotVisOnly val="1"/>
    <c:dispBlanksAs val="gap"/>
    <c:showDLblsOverMax val="0"/>
  </c:chart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  <a:latin typeface="AR P丸ゴシック体M"/>
          <a:ea typeface="AR P丸ゴシック体M"/>
        </a:defRPr>
      </a:pPr>
      <a:endParaRPr lang="ja-JP"/>
    </a:p>
  </c:txPr>
  <c:externalData r:id="rId1">
    <c:autoUpdate val="0"/>
  </c:externalData>
  <c:extLst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62927408046597"/>
          <c:y val="0.19510011778563016"/>
          <c:w val="0.82030672091914436"/>
          <c:h val="0.574990493679456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集団回収量</c:v>
                </c:pt>
              </c:strCache>
            </c:strRef>
          </c:tx>
          <c:spPr>
            <a:solidFill>
              <a:srgbClr val="C285FF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8F1-46A1-A297-F97411080AE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8F1-46A1-A297-F97411080AE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8F1-46A1-A297-F97411080AE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8F1-46A1-A297-F97411080AE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8F1-46A1-A297-F97411080AE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8F1-46A1-A297-F97411080AE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8F1-46A1-A297-F97411080AE9}"/>
              </c:ext>
            </c:extLst>
          </c:dPt>
          <c:dLbls>
            <c:dLbl>
              <c:idx val="0"/>
              <c:layout>
                <c:manualLayout>
                  <c:x val="-1.7977204904181497E-7"/>
                  <c:y val="1.71570073175482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F1-46A1-A297-F97411080AE9}"/>
                </c:ext>
              </c:extLst>
            </c:dLbl>
            <c:dLbl>
              <c:idx val="1"/>
              <c:layout>
                <c:manualLayout>
                  <c:x val="0"/>
                  <c:y val="1.44874470196525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8F1-46A1-A297-F97411080AE9}"/>
                </c:ext>
              </c:extLst>
            </c:dLbl>
            <c:dLbl>
              <c:idx val="2"/>
              <c:layout>
                <c:manualLayout>
                  <c:x val="2.2831050228310501E-3"/>
                  <c:y val="1.03336022926462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8F1-46A1-A297-F97411080AE9}"/>
                </c:ext>
              </c:extLst>
            </c:dLbl>
            <c:dLbl>
              <c:idx val="3"/>
              <c:layout>
                <c:manualLayout>
                  <c:x val="2.2831050228310501E-3"/>
                  <c:y val="1.092049006241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8F1-46A1-A297-F97411080AE9}"/>
                </c:ext>
              </c:extLst>
            </c:dLbl>
            <c:dLbl>
              <c:idx val="4"/>
              <c:layout>
                <c:manualLayout>
                  <c:x val="0"/>
                  <c:y val="1.03280376172059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8F1-46A1-A297-F97411080AE9}"/>
                </c:ext>
              </c:extLst>
            </c:dLbl>
            <c:dLbl>
              <c:idx val="5"/>
              <c:layout>
                <c:manualLayout>
                  <c:x val="0"/>
                  <c:y val="1.15956706825074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8F1-46A1-A297-F97411080AE9}"/>
                </c:ext>
              </c:extLst>
            </c:dLbl>
            <c:dLbl>
              <c:idx val="6"/>
              <c:layout>
                <c:manualLayout>
                  <c:x val="-2.2831050228310501E-3"/>
                  <c:y val="7.110542277621571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>
                  <a:spAutoFit/>
                </a:bodyPr>
                <a:lstStyle/>
                <a:p>
                  <a:pPr>
                    <a:defRPr sz="1000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8F1-46A1-A297-F97411080AE9}"/>
                </c:ext>
              </c:extLst>
            </c:dLbl>
            <c:dLbl>
              <c:idx val="7"/>
              <c:layout>
                <c:manualLayout>
                  <c:x val="0"/>
                  <c:y val="1.41220333324058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D06-408A-89FC-434D95748B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anchor="ctr" anchorCtr="1">
                <a:spAutoFit/>
              </a:bodyPr>
              <a:lstStyle/>
              <a:p>
                <a:pPr algn="ctr" rtl="0">
                  <a:defRPr sz="1000">
                    <a:solidFill>
                      <a:schemeClr val="tx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H26</c:v>
                </c:pt>
                <c:pt idx="1">
                  <c:v>H27</c:v>
                </c:pt>
                <c:pt idx="2">
                  <c:v>H28</c:v>
                </c:pt>
                <c:pt idx="3">
                  <c:v>H29</c:v>
                </c:pt>
                <c:pt idx="4">
                  <c:v>H30</c:v>
                </c:pt>
                <c:pt idx="5">
                  <c:v>R1</c:v>
                </c:pt>
                <c:pt idx="6">
                  <c:v>R2</c:v>
                </c:pt>
                <c:pt idx="7">
                  <c:v>R3</c:v>
                </c:pt>
              </c:strCache>
            </c:strRef>
          </c:cat>
          <c:val>
            <c:numRef>
              <c:f>Sheet1!$B$2:$B$9</c:f>
              <c:numCache>
                <c:formatCode>#,##0_ </c:formatCode>
                <c:ptCount val="8"/>
                <c:pt idx="0">
                  <c:v>3145</c:v>
                </c:pt>
                <c:pt idx="1">
                  <c:v>2711</c:v>
                </c:pt>
                <c:pt idx="2">
                  <c:v>2431</c:v>
                </c:pt>
                <c:pt idx="3">
                  <c:v>2094</c:v>
                </c:pt>
                <c:pt idx="4">
                  <c:v>1800</c:v>
                </c:pt>
                <c:pt idx="5">
                  <c:v>1586</c:v>
                </c:pt>
                <c:pt idx="6">
                  <c:v>1119</c:v>
                </c:pt>
                <c:pt idx="7">
                  <c:v>1147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8F1-46A1-A297-F97411080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</c:scaling>
        <c:delete val="0"/>
        <c:axPos val="l"/>
        <c:majorGridlines/>
        <c:title>
          <c:tx>
            <c:rich>
              <a:bodyPr rot="0" horzOverflow="overflow" anchor="ctr" anchorCtr="1"/>
              <a:lstStyle/>
              <a:p>
                <a:pPr algn="ctr" rtl="0">
                  <a:defRPr sz="1000" i="0" u="none" strike="noStrike" baseline="0">
                    <a:solidFill>
                      <a:schemeClr val="tx1"/>
                    </a:solidFill>
                  </a:defRPr>
                </a:pPr>
                <a:r>
                  <a:rPr lang="en-US" altLang="en-US" sz="1000" b="1" i="0" u="none" strike="noStrike" baseline="0">
                    <a:solidFill>
                      <a:schemeClr val="tx1"/>
                    </a:solidFill>
                    <a:latin typeface="AR P丸ゴシック体M"/>
                    <a:ea typeface="AR P丸ゴシック体M"/>
                  </a:rPr>
                  <a:t>(t)</a:t>
                </a:r>
                <a:endParaRPr lang="ja-JP" altLang="en-US" sz="1000" b="1" i="0" u="none" strike="noStrike" baseline="0">
                  <a:solidFill>
                    <a:schemeClr val="tx1"/>
                  </a:solidFill>
                  <a:latin typeface="AR P丸ゴシック体M"/>
                  <a:ea typeface="AR P丸ゴシック体M"/>
                </a:endParaRPr>
              </a:p>
            </c:rich>
          </c:tx>
          <c:layout>
            <c:manualLayout>
              <c:xMode val="edge"/>
              <c:yMode val="edge"/>
              <c:x val="6.5843670226153242E-2"/>
              <c:y val="6.7989946486371189E-2"/>
            </c:manualLayout>
          </c:layout>
          <c:overlay val="0"/>
        </c:title>
        <c:numFmt formatCode="#,##0_ " sourceLinked="1"/>
        <c:majorTickMark val="out"/>
        <c:minorTickMark val="none"/>
        <c:tickLblPos val="nextTo"/>
        <c:txPr>
          <a:bodyPr anchor="ctr" anchorCtr="1"/>
          <a:lstStyle/>
          <a:p>
            <a:pPr algn="ctr" rtl="0">
              <a:defRPr sz="1000">
                <a:solidFill>
                  <a:schemeClr val="tx1"/>
                </a:solidFill>
              </a:defRPr>
            </a:pPr>
            <a:endParaRPr lang="ja-JP"/>
          </a:p>
        </c:txPr>
        <c:crossAx val="1"/>
        <c:crosses val="autoZero"/>
        <c:crossBetween val="between"/>
      </c:valAx>
    </c:plotArea>
    <c:plotVisOnly val="1"/>
    <c:dispBlanksAs val="gap"/>
    <c:showDLblsOverMax val="0"/>
  </c:chart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  <a:latin typeface="AR P丸ゴシック体M"/>
          <a:ea typeface="AR P丸ゴシック体M"/>
        </a:defRPr>
      </a:pPr>
      <a:endParaRPr lang="ja-JP"/>
    </a:p>
  </c:txPr>
  <c:externalData r:id="rId1">
    <c:autoUpdate val="0"/>
  </c:externalData>
  <c:extLst/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36</cp:revision>
  <cp:lastPrinted>2023-03-22T07:55:00Z</cp:lastPrinted>
  <dcterms:created xsi:type="dcterms:W3CDTF">2018-12-04T00:15:00Z</dcterms:created>
  <dcterms:modified xsi:type="dcterms:W3CDTF">2023-03-22T08:08:00Z</dcterms:modified>
</cp:coreProperties>
</file>